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islamic_branding_religiosity_halal_msme</w:t>
      </w:r>
    </w:p>
    <w:p>
      <w:r>
        <w:t xml:space="preserve"> </w:t>
      </w:r>
    </w:p>
    <w:p>
      <w:pPr>
        <w:pStyle w:val="Heading2"/>
      </w:pPr>
      <w:r>
        <w:t>Title</w:t>
      </w:r>
    </w:p>
    <w:p>
      <w:r>
        <w:t>Quantitative explanatory SEM-PLS study of the causal effects of Islamic branding, religiosity, Islamic financial literacy, and entrepreneurial orientation on halal MSME financial performance in Malang</w:t>
      </w:r>
    </w:p>
    <w:p>
      <w:r>
        <w:t xml:space="preserve"> </w:t>
      </w:r>
    </w:p>
    <w:p>
      <w:pPr>
        <w:pStyle w:val="Heading2"/>
      </w:pPr>
      <w:r>
        <w:t>Short Hypothesis</w:t>
      </w:r>
    </w:p>
    <w:p>
      <w:r>
        <w:t>Adoption of Islamic branding combined with higher entrepreneur religiosity causes a positive change in 12-month net profit margin for halal MSMEs, and this effect is mediated by increased customer trust and willingness-to-pay.</w:t>
      </w:r>
    </w:p>
    <w:p>
      <w:r>
        <w:t xml:space="preserve"> </w:t>
      </w:r>
    </w:p>
    <w:p>
      <w:pPr>
        <w:pStyle w:val="Heading2"/>
      </w:pPr>
      <w:r>
        <w:t>Related Work</w:t>
      </w:r>
    </w:p>
    <w:p>
      <w:r>
        <w:t>Prior studies report positive associations between Islamic branding, religiosity, and firm performance but mainly use cross-sectional correlations or small samples. Common approaches include simple regressions and descriptive surveys that do not validate latent constructs or fully test mediation. Existing work often lacks rigorous financial bookkeeping validation, pre-registered causal estimands, robust endogeneity controls (DiD, IV, or staggered estimators), and psychometric testing (measurement invariance) for religiosity and branding scales. Limitations include potential reverse causality (profitable firms invest more in branding), self-report bias, weak instruments, and absence of mixed-methods mediation evidence that links branding to customer trust, perceived authenticity, willingness-to-pay, and then to profits.</w:t>
      </w:r>
    </w:p>
    <w:p>
      <w:r>
        <w:t xml:space="preserve"> </w:t>
      </w:r>
    </w:p>
    <w:p>
      <w:pPr>
        <w:pStyle w:val="Heading2"/>
      </w:pPr>
      <w:r>
        <w:t>Abstract</w:t>
      </w:r>
    </w:p>
    <w:p>
      <w:r>
        <w:t>This study examines whether Islamic branding and entrepreneur religiosity causally improve financial performance of halal micro, small, and medium enterprises (MSMEs). Using a validated questionnaire and firm bookkeeping, we measure latent constructs for Islamic branding, religiosity, Islamic financial literacy, and entrepreneurial orientation, and link them to 12-month pre/post net profit margin change. We estimate structural relationships and mediation paths with SEM-PLS (structural equation modeling using partial least squares, a method that models relationships among latent variables) and test robustness with DiD, IV, and multilevel regressions. The main contribution is a preregistered, reproducible causal analysis that combines psychometrically tested measures, validated financial records, mediation tests via customer trust and willingness-to-pay, and sensitivity checks for endogeneity. Expected outcomes are precise ATE estimates of branding and religiosity on profit-margin change and quantified indirect effects through trust and WTP, informing evidence-based branding interventions for halal MSMEs.</w:t>
      </w:r>
    </w:p>
    <w:p>
      <w:r>
        <w:t xml:space="preserve"> </w:t>
      </w:r>
    </w:p>
    <w:p>
      <w:pPr>
        <w:pStyle w:val="Heading2"/>
      </w:pPr>
      <w:r>
        <w:t>Experiments</w:t>
      </w:r>
    </w:p>
    <w:p>
      <w:r>
        <w:t>Dataset: firm-level sample of 224 halal MSMEs in Malang city and regency with (a) validated survey responses on Islamic branding, religiosity, Islamic financial literacy, and entrepreneurial orientation; (b) monthly accounting records covering 12 months pre-intervention and 12 months post-intervention. Optional customer-level nested survey where available. Baselines: (1) OLS regression of net profit margin change on predictors with pre-specified covariates and clustered SEs; (2) difference-in-differences (DiD) using Sun &amp; Abraham estimator for staggered adoption; (3) IV regressions using pre-specified instruments (distance to certifier, outreach intensity, subsidized offers) with diagnostics; (4) multilevel regression for customer-level moderation; (5) covariance-based SEM with FIML as comparator. Primary method: PLS-SEM estimating latent predictors, mediators (trust, perceived authenticity, willingness-to-pay), and direct/indirect paths. Evaluation metrics: primary ATE as percent-point change in net profit margin with clustered robust SE and two-sided p-value; standardized indirect effects with bootstrap 95% CI; model fit for PLS-SEM via SRMR and R-squared for endogenous constructs (R^2 is explained variance); IV diagnostics: first-stage F-statistic, partial R^2, Kleibergen-Paap rank statistic, Hansen J when overidentified. Data processing: winsorize monetary series at 1st/99th percentiles; cluster SEs at firm level; handle missing data with FIML in SEM and multiple imputation (m&gt;=20) for covariates. Inference details: bootstrap draws = 5000 for indirect effects; Monte Carlo power simulations = 1000 reps for MDES scenarios. Comparisons/ablations: (A) full model vs model without religiosity; (B) full mediation vs direct-only paths; (C) PLS-SEM vs covariance SEM (FIML) vs OLS DiD; (D) IV-instrumented model vs non-instrumented estimates. Robustness checks: pre-trend lead tests at alpha=0.10, leave-one-instrument-out, alternative mediator timing (1, 6, 12 months), and results reported with and without winsorization.</w:t>
      </w:r>
    </w:p>
    <w:p>
      <w:r>
        <w:t xml:space="preserve"> </w:t>
      </w:r>
    </w:p>
    <w:p>
      <w:pPr>
        <w:pStyle w:val="Heading2"/>
      </w:pPr>
      <w:r>
        <w:t>Risk Factors And Limitations</w:t>
      </w:r>
    </w:p>
    <w:p>
      <w:r>
        <w:t>Measurement error in self-reported branding and religiosity scales; misreporting or incomplete bookkeeping leading to biased profit estimates; limited sample size (224) may reduce power to detect small indirect effects and subgroup heterogeneity; weak or invalid instruments causing biased IV estimates; endogeneity from unobserved confounders if DiD/IV assumptions fail; PLS-SEM has limitations for exact model fit inference compared with covariance-based SEM; attrition or missing monthly data may bias pre/post comparisons; seasonal or local shocks (business-cycle, regulation changes) could confound 12-month comparisons if not fully controlled; findings may not generalize beyond Malang region or to non-halal sectors.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