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ai_trust_abudhabi_policing</w:t>
      </w:r>
    </w:p>
    <w:p>
      <w:r>
        <w:t xml:space="preserve"> </w:t>
      </w:r>
    </w:p>
    <w:p>
      <w:pPr>
        <w:pStyle w:val="Heading2"/>
      </w:pPr>
      <w:r>
        <w:t>Title</w:t>
      </w:r>
    </w:p>
    <w:p>
      <w:r>
        <w:t>PLS-SEM analysis of the effects of AI implementation, public service perception, and government trust on citizen satisfaction in Abu Dhabi policing</w:t>
      </w:r>
    </w:p>
    <w:p>
      <w:r>
        <w:t xml:space="preserve"> </w:t>
      </w:r>
    </w:p>
    <w:p>
      <w:pPr>
        <w:pStyle w:val="Heading2"/>
      </w:pPr>
      <w:r>
        <w:t>Short Hypothesis</w:t>
      </w:r>
    </w:p>
    <w:p>
      <w:r>
        <w:t>Higher perceived transparency and appropriateness of AI deployment in Abu Dhabi Police increases citizen satisfaction, and this effect is mediated by improved perceptions of public services and increased trust in government.</w:t>
      </w:r>
    </w:p>
    <w:p>
      <w:r>
        <w:t xml:space="preserve"> </w:t>
      </w:r>
    </w:p>
    <w:p>
      <w:pPr>
        <w:pStyle w:val="Heading2"/>
      </w:pPr>
      <w:r>
        <w:t>Related Work</w:t>
      </w:r>
    </w:p>
    <w:p>
      <w:r>
        <w:t>Prior work falls into two overlapping streams. One stream develops technical methods for explainable, fairness-aware, and privacy-preserving AI (explainability methods, differential privacy, fairness metrics). These works improve algorithmic transparency and reduce technical bias but rarely link technical outputs to human outcomes such as citizen satisfaction. A second stream measures public trust and legitimacy using surveys and structural models (SEM, PLS-SEM) to relate perceptions of institutions to satisfaction and cooperation. Limitations across existing approaches include: (1) technical studies focus on model-level metrics (accuracy, FPR/FNR gaps, calibration) without empirically testing how those metrics change citizen attitudes; (2) survey and SEM studies often omit technology-specific constructs (AI transparency, perceived algorithmic fairness) or use single-language instruments without testing cross-language equivalence; (3) few studies combine privacy-adversary modeling (re-identification risk, DP accounting) with measurement and causal testing; (4) limited contextual evidence in policing settings in Gulf cities, so generalization is uncertain. These gaps motivate empirical work that integrates AI-deployment perceptions, measurement rigor, and causal path modeling in a policing context.</w:t>
      </w:r>
    </w:p>
    <w:p>
      <w:r>
        <w:t xml:space="preserve"> </w:t>
      </w:r>
    </w:p>
    <w:p>
      <w:pPr>
        <w:pStyle w:val="Heading2"/>
      </w:pPr>
      <w:r>
        <w:t>Abstract</w:t>
      </w:r>
    </w:p>
    <w:p>
      <w:r>
        <w:t>This study tests how perceptions of AI deployment in policing relate to citizen satisfaction in Abu Dhabi. We develop and empirically test a theory-driven model where perceived AI transparency and appropriateness influence citizen satisfaction indirectly through two mediators: perceptions of public services and trust in government. We use partial least squares structural equation modeling (PLS-SEM) on a purposive survey dataset collected from Abu Dhabi policing personnel (N=365) with multilingual instruments. Main contributions are (1) a validated measurement model that includes AI-specific perception items and cross-language measurement checks, (2) estimates of direct and mediated path coefficients linking AI perceptions to satisfaction, and (3) robustness comparisons against covariance-based SEM and regression baselines plus sensitivity checks for sample, fairness, and privacy perturbations. Expected outcomes include quantified effect sizes for mediation pathways, model predictive performance, and concrete diagnostics to inform governance thresholds for explainability, fairness, and privacy in police AI deployments.</w:t>
      </w:r>
    </w:p>
    <w:p>
      <w:r>
        <w:t xml:space="preserve"> </w:t>
      </w:r>
    </w:p>
    <w:p>
      <w:pPr>
        <w:pStyle w:val="Heading2"/>
      </w:pPr>
      <w:r>
        <w:t>Experiments</w:t>
      </w:r>
    </w:p>
    <w:p>
      <w:r>
        <w:t>Dataset: purposive survey of Abu Dhabi Police personnel with validated items for: perceived AI transparency/appropriateness (AI_perc), perception of public services (PS_perc), trust in government (Trust), and citizen satisfaction (Sat). Sample: N=365 valid responses; instrument languages: Arabic, English, Urdu, Tagalog where available. Preprocessing: item-level screening, reverse-coding, missingness check (&lt;5% per item), mean-imputation only if &lt;2% missing per case. Measurement tests: Cronbach's alpha and McDonald's omega (target &gt;=0.70), composite reliability, average variance extracted (AVE&gt;=0.50). Measurement invariance: multi-group CFA for configural, metric, scalar invariance across languages; report change in CFI and RMSEA. Primary method: PLS-SEM (a variance-based SEM method that estimates latent variable relationships) implemented with bootstrap resampling (5,000 samples) to obtain path coefficient significance. Report path coefficients, t-stats, p-values, R2 for endogenous constructs, effect sizes f2, and Stone-Geisser Q2 for predictive relevance. Goodness criteria: SRMR &lt;=0.08 for overall fit, p&lt;0.05 for key paths. Baselines: (A) covariance-based SEM (CB-SEM) with maximum likelihood; (B) OLS multiple regression on scale scores; (C) mediation tested with bootstrapped indirect effect (PROCESS-style). Ablation studies: (1) remove Trust mediator to compare mediation magnitude; (2) remove PS_perc mediator; (3) collapse AI_perc into single item vs multi-item scale to test measurement sensitivity. Robustness checks: (1) multi-group path comparisons by language and residency status; (2) test for common-method bias via Harman's single-factor test; (3) VIF for multicollinearity (&lt;3 recommended). Privacy/fairness sensitivity: add synthetic noise to key items to simulate differential-privacy perturbation at three noise levels and re-estimate PLS-SEM to assess stability of coefficients; report coefficient drift and change in significance. Reporting: standardized path estimates with 95% bootstrap confidence intervals, table of model fit indices, and a decision-impact table translating key false-positive/false-negative rate changes into counts per 10,000 interactions given plausible base rates (include formula and numeric examples). Software: R or Python SEM toolkits (specify package used), exact functions and seeds saved for reproducibility.</w:t>
      </w:r>
    </w:p>
    <w:p>
      <w:r>
        <w:t xml:space="preserve"> </w:t>
      </w:r>
    </w:p>
    <w:p>
      <w:pPr>
        <w:pStyle w:val="Heading2"/>
      </w:pPr>
      <w:r>
        <w:t>Risk Factors And Limitations</w:t>
      </w:r>
    </w:p>
    <w:p>
      <w:r>
        <w:t>1) Sampling and generalizability: purposive sample of police personnel (N=365) may not represent citizen populations; results may not generalize to broader public. 2) Measurement invariance failure: cross-language or cross-group non-invariance can invalidate comparisons. 3) Statistical power: mediation tests require larger samples; N=365 may yield low power for small indirect effects. 4) Common-method bias: same-respondent survey for predictors and outcomes can inflate associations. 5) Social desirability: police respondents may over-report positive attitudes, biasing estimates. 6) Causality limits: cross-sectional survey limits causal inference; unmeasured confounders may bias paths. 7) Privacy perturbation sensitivity: adding DP noise can alter measurement properties and reduce precision, making some effects undetectable. 8) Adversary model mismatch: attacker assumptions used for privacy/fairness translations may not cover real threats, so risk estimates can be optimistic. 9) Metric interpretability: mapping FPR/FNR thresholds to operational harms depends on assumed base rates and decision policies; mis-specification yields misleading decision-impact tables. 10) Legal and access constraints under PDPL may limit data sharing and independent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