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eeg_hmm_emotion_states</w:t>
      </w:r>
    </w:p>
    <w:p>
      <w:r>
        <w:t xml:space="preserve"> </w:t>
      </w:r>
    </w:p>
    <w:p>
      <w:pPr>
        <w:pStyle w:val="Heading2"/>
      </w:pPr>
      <w:r>
        <w:t>Title</w:t>
      </w:r>
    </w:p>
    <w:p>
      <w:r>
        <w:t>Modeling time-varying emotional states during multimedia advertisement viewing using EEG and hidden Markov models</w:t>
      </w:r>
    </w:p>
    <w:p>
      <w:r>
        <w:t xml:space="preserve"> </w:t>
      </w:r>
    </w:p>
    <w:p>
      <w:pPr>
        <w:pStyle w:val="Heading2"/>
      </w:pPr>
      <w:r>
        <w:t>Short Hypothesis</w:t>
      </w:r>
    </w:p>
    <w:p>
      <w:r>
        <w:t>Hidden Markov Models trained on EEG-derived neural markers (amplitude, arousal, frontal activation, hemispheric asymmetry) will predict continuous self-reported excitement and love ratings with significantly higher held-out predictive accuracy and explained variance than static windowed models.</w:t>
      </w:r>
    </w:p>
    <w:p>
      <w:r>
        <w:t xml:space="preserve"> </w:t>
      </w:r>
    </w:p>
    <w:p>
      <w:pPr>
        <w:pStyle w:val="Heading2"/>
      </w:pPr>
      <w:r>
        <w:t>Related Work</w:t>
      </w:r>
    </w:p>
    <w:p>
      <w:r>
        <w:t>Prior work has used EEG markers (frontal alpha asymmetry, band power, frontal activation, and arousal measures) to map affective states and used generative models to infer latent neural dynamics. Other studies applied static or windowed classifiers/regressors to predict emotion labels or continuous ratings, and some applied state models (HMMs) to neural time series for motor or sleep staging. Limitations remain: many approaches ignore rapid, probabilistic state transitions and temporal persistence; static-window models lose millisecond-to-second dynamics; previous HMM uses often lack multimodal fusion with peripheral signals, handling of movement artifacts, hierarchical pooling across subjects, or robust simulation-based power calibration; label-switching and identifiability are under-addressed; and reproducibility practices (pre-registration, containerized pipelines, BIDS metadata) are inconsistently applied. These gaps reduce interpretability, real-time applicability, and generalization to ecologically valid stimuli like multimedia advertisements.</w:t>
      </w:r>
    </w:p>
    <w:p>
      <w:r>
        <w:t xml:space="preserve"> </w:t>
      </w:r>
    </w:p>
    <w:p>
      <w:pPr>
        <w:pStyle w:val="Heading2"/>
      </w:pPr>
      <w:r>
        <w:t>Abstract</w:t>
      </w:r>
    </w:p>
    <w:p>
      <w:r>
        <w:t>We address the problem of characterizing time-varying emotional engagement during multimedia advertisement viewing by combining EEG-derived neural markers with hidden Markov models (HMMs). Our approach extracts interpretable EEG features (band-limited power, frontal asymmetry, arousal proxies) in short, overlapping temporal frames and fits hierarchical HMM variants to recover hidden neural states and probabilistic transitions. The main contribution is an end-to-end framework that (1) models sub-second state dynamics, (2) integrates peripheral signals and continuous self-report for multimodal validation, and (3) uses simulation-based power and robustness checks to pre-specify stopping and decision rules. Expected outcomes are: identifiable state fingerprints linked to feeling states such as excitement and affection (love), improved time-resolved prediction of continuous ratings over static baselines, and a reproducible pipeline enabling real-time affect-aware applications. This framework aims to advance interpretable, temporally precise affect modeling from EEG for adaptive interfaces and neuroscience research.</w:t>
      </w:r>
    </w:p>
    <w:p>
      <w:r>
        <w:t xml:space="preserve"> </w:t>
      </w:r>
    </w:p>
    <w:p>
      <w:pPr>
        <w:pStyle w:val="Heading2"/>
      </w:pPr>
      <w:r>
        <w:t>Experiments</w:t>
      </w:r>
    </w:p>
    <w:p>
      <w:r>
        <w:t>Datasets and sample sizes: collect EEG and peripheral data while participants view a locked set of multimedia advertisements (pilot N = 30 completed sessions with interim checks at N = 15; main cohort target N = 100 ± 20). Acquisition defaults: 128-channel montage, sampling_rate = 250 Hz (250 samples/sec), bandpass 0.5–45 Hz, notch at local mains (±1 Hz), ICA via AMICA for artifact removal. Feature extraction: compute band power features in 400 ms Hamming windows with 50% overlap (frame rate = 5 Hz). At this frame rate, AR order p = 3 corresponds to ~600 ms temporal context. Primary features: delta–gamma band power, frontal theta index, alpha suppression index, hemispheric asymmetry (frontal channels), and time-resolved microstate metrics. Peripheral streams: GSR, ECG/HRV, pupillometry, joystick position sampled and aligned to EEG frames. Motion regressors: wrist IMU, joystick analog, and EMG proxies recorded and regressed from EEG prior to feature extraction. Models and baselines: (1) hierarchical Gaussian HMM (NIW priors), (2) HMM-AR (AR order p = 3 on frame features), (3) sticky-HDP-HMM (nonparametric), (4) HSMM (explicit duration modeling), (5) static windowed ridge regression and SVM baselines on the same features, and (6) HMM variants without peripheral fusion. Ablations: remove motion regression, remove peripheral fusion, switch priors from hierarchical to independent per subject. Cross-validation and inference: 5-fold subject-level CV and leave-one-subject-out generalization; primary inference via variational Bayes/EM for scale and MCMC checks on subsets. Evaluation metrics: held-out predictive log-likelihood, time-resolved decoding AUC for binary/thresholded ratings, R^2 (explained variance) for continuous ratings, Brier score and calibration curves (for probabilistic outputs), ARI (adjusted Rand index) for state recovery against simulated ground truth, state dwell-time recovery error, and permutation p-values (1000 permutations) for significance. Success criteria and statistical tests: compare models on held-out metrics; report cluster-based permutation tests (FWE p&lt;0.05) for time-resolved effects, and use pre-specified thresholds (example targets: decoding AUC &gt; 0.70, ARI &gt; 0.6) derived from pilot simulations. Compute and checkpoints: record wall-clock times on pilot fits to produce per-model compute estimates; checkpoint model fits every 10 iterations and save seeds for reproducibility.</w:t>
      </w:r>
    </w:p>
    <w:p>
      <w:r>
        <w:t xml:space="preserve"> </w:t>
      </w:r>
    </w:p>
    <w:p>
      <w:pPr>
        <w:pStyle w:val="Heading2"/>
      </w:pPr>
      <w:r>
        <w:t>Risk Factors And Limitations</w:t>
      </w:r>
    </w:p>
    <w:p>
      <w:r>
        <w:t>Motion and task-induced artifacts: joystick/VR movement and muscle (EMG) can contaminate EEG and may reduce identifiability of affective states. Non-identifiability and label-switching: HMM states can be non-unique across initializations; deterministic post-hoc matching must be reported. Model misspecification: wrong emission or transition assumptions (e.g., ignoring duration distributions) can cause false discoveries. Sample and stimulus generalization: findings from specific advertisement stimuli may not generalize to other content or populations. Missing data and bias: peripheral streams or behavioral reports may be missing not at random (MNAR), biasing multimodal fusion and hierarchical estimates. Compute and scalability: nonparametric HMMs and MCMC checks may be computationally heavy and limit exploration of hyperparameter grids. Threshold setting and reproducibility: numeric thresholds (AUC, ARI, LL gains) may appear ad hoc unless justified by pilot simulations; preregistration is required to avoid post-hoc choices. Source localization limits: volume conduction and low spatial resolution constrain claims about deep or small brain regions.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