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cultural_resonance_eeg</w:t>
      </w:r>
    </w:p>
    <w:p>
      <w:r>
        <w:t xml:space="preserve"> </w:t>
      </w:r>
    </w:p>
    <w:p>
      <w:pPr>
        <w:pStyle w:val="Heading2"/>
      </w:pPr>
      <w:r>
        <w:t>Title</w:t>
      </w:r>
    </w:p>
    <w:p>
      <w:r>
        <w:t>EEG assessment of how cultural familiarity modulates neural markers of attention and emotion during viewing of festive images in Kolkata participants</w:t>
      </w:r>
    </w:p>
    <w:p>
      <w:r>
        <w:t xml:space="preserve"> </w:t>
      </w:r>
    </w:p>
    <w:p>
      <w:pPr>
        <w:pStyle w:val="Heading2"/>
      </w:pPr>
      <w:r>
        <w:t>Short Hypothesis</w:t>
      </w:r>
    </w:p>
    <w:p>
      <w:r>
        <w:t>In Kolkata participants, viewing culturally familiar Durga Puja images will elicit greater neural engagement than viewing unfamiliar Onam images, evidenced by larger LPP amplitude (400–800 ms), increased frontal-midline theta power (4–7 Hz, 200–600 ms), and measurable differences in early visual ERPs (P1/N170).</w:t>
      </w:r>
    </w:p>
    <w:p>
      <w:r>
        <w:t xml:space="preserve"> </w:t>
      </w:r>
    </w:p>
    <w:p>
      <w:pPr>
        <w:pStyle w:val="Heading2"/>
      </w:pPr>
      <w:r>
        <w:t>Related Work</w:t>
      </w:r>
    </w:p>
    <w:p>
      <w:r>
        <w:t>Prior work shows that EEG can index early visual responses (P1, N170), sustained affective processing (late positive potential, LPP), and frontal-midline theta linked to cognitive control and arousal. Studies in neuroaesthetics and cultural neuroscience report that familiarity and cultural meaning influence subjective ratings and some EEG markers, and multivariate methods (MVPA) can decode stimulus classes above chance. Common limitations are small samples, weak stimulus validation across cultures, inconsistent preprocessing and ICA practices, limited cross-site harmonization, and over-interpretation of deep-source localization from scalp EEG. Many prior pipelines lack preregistered SESOI (smallest effect size of interest), nested cross-validation for MVPA, and rigorous equivalence testing across sites, leaving open questions about robustness, interpretability, and generalization.</w:t>
      </w:r>
    </w:p>
    <w:p>
      <w:r>
        <w:t xml:space="preserve"> </w:t>
      </w:r>
    </w:p>
    <w:p>
      <w:pPr>
        <w:pStyle w:val="Heading2"/>
      </w:pPr>
      <w:r>
        <w:t>Abstract</w:t>
      </w:r>
    </w:p>
    <w:p>
      <w:r>
        <w:t>We address whether cultural familiarity of festive imagery changes neural signatures of attention and emotion in Kolkata viewers using non-invasive electroencephalography (EEG). We will present validated pools of culturally familiar (Durga Puja), unfamiliar (Onam), and neutral images to a Kolkata sample while recording high-density EEG. Primary measures are early visual ERPs (P1, N170), the late positive potential (LPP) as a marker of sustained emotional engagement, and frontal-midline theta power as a marker of cognitive–affective processing. Analyses include pre-registered sensor ROIs/time-windows, cluster-based permutation testing, multivariate pattern analysis (MVPA) with nested cross-validation, and hierarchical Bayesian models linking neural markers to subjective ratings. The main contribution is a preregistered, reproducible pipeline that quantifies how cultural resonance and visual symbolism modulate attention and affect, and that reports effect sizes, detectability limits, and cross-site harmonization checks. Expected outcomes are clear, testable neural differences tied to cultural familiarity and a set of reproducible standards for culturally sensitive EEG studies.</w:t>
      </w:r>
    </w:p>
    <w:p>
      <w:r>
        <w:t xml:space="preserve"> </w:t>
      </w:r>
    </w:p>
    <w:p>
      <w:pPr>
        <w:pStyle w:val="Heading2"/>
      </w:pPr>
      <w:r>
        <w:t>Experiments</w:t>
      </w:r>
    </w:p>
    <w:p>
      <w:r>
        <w:t>Dataset: recruit N = 60 healthy adult participants from Kolkata; each participant views three stimulus categories: culturally familiar (Durga Puja), culturally unfamiliar (Onam), and neutral images. Stimulus pool: &gt;= 60 images per category validated for valence, arousal, and familiarity; present 100 trials per condition to achieve ~60 clean trials/condition after rejection. Baselines: include neutral images and phase-scrambled versions. Acquisition: high-density EEG sampled at 1000 Hz, record mastoids and Cz; digitize electrode positions. Preprocessing pipelines (locked): zero-phase FIR filters, ICA trained on high-pass 1.0 Hz and applied to 0.1 Hz data; interpolation of bad channels, average referencing for primary analysis, mastoid re-reference for sensitivity. Primary metrics: ERP amplitudes and latencies in pre-specified ROIs/time-windows (P1 80–130 ms occipital, N170 140–200 ms temporo-parietal, LPP 400–800 ms centroparietal), frontal-midline theta (4–7 Hz, 200–600 ms at FCz), MVPA decoding AUC (sensor and source features), and Bayesian posterior effects with ROPE decisions (ROPE defined relative to SESOI ±0.2 SD). Statistical tests: cluster-based permutation (5000 perms) for ERPs/TF, permutation max-stat for MVPA. Baseline comparisons: (1) familiar vs unfamiliar (primary within-subject), (2) familiar vs neutral, (3) unfamiliar vs neutral. Ablations/controls: (A) reference scheme: average vs mastoid, (B) artifact pipeline: ICA vs ASR, (C) filter high-pass 0.1 Hz vs 1.0 Hz, (D) MVPA classifiers: regularized logistic regression, linear SVM, ridge regression with pre-registered hyperparameter grids and nested cross-validation (leave-one-subject-out outer folds; 5-fold inner tuning). Source tests: compare minimum-norm and beamformer inverse solutions and report depth-bias simulations (injected simulated deep sources) as detectability ablation. Evaluation metrics: effect sizes (Cohen's d), 95% credible intervals, AUC with permutation p-values, cluster p-values, trial retention rates, and per-subject QC outputs (n_trials_clean, channels_interpolated, ICA_components_removed).</w:t>
      </w:r>
    </w:p>
    <w:p>
      <w:r>
        <w:t xml:space="preserve"> </w:t>
      </w:r>
    </w:p>
    <w:p>
      <w:pPr>
        <w:pStyle w:val="Heading2"/>
      </w:pPr>
      <w:r>
        <w:t>Risk Factors And Limitations</w:t>
      </w:r>
    </w:p>
    <w:p>
      <w:r>
        <w:t>Technical SNR limits: scalp EEG has low sensitivity to deep sources (e.g., ventral striatum); inverse solutions may produce surface-proxy patterns only. Trial loss and artifacts: eye blinks, muscle, and bad channels can reduce usable trials below preregistered thresholds, reducing power. Preprocessing dependency: results may change with filter cutoffs, ICA vs ASR choices, or reference scheme, risking analytic variability. Sample and stimulus bias: Kolkata-only sample limits generalization to other cultural groups; stimuli may retain subtle low-level differences despite matching. MVPA overfitting: high-dimensional features risk inflated within-sample decoding if cross-validation is imperfect. Cross-site harmonization: differences in amplifiers, caps, or timing could introduce site variance if multi-site data are pooled. Ethical/data governance constraints: restricted sharing of culturally sensitive images may limit reproducibility of stimulus-driven analyses. Statistical multiplicity: many tests increase false-positive risk if corrections are not applied consistently. Missing covariates: incomplete metadata or participant info can bias hierarchical models if missingness is non-random.</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