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paylater_perceivedrisk_impulse</w:t>
      </w:r>
    </w:p>
    <w:p>
      <w:r>
        <w:t xml:space="preserve"> </w:t>
      </w:r>
    </w:p>
    <w:p>
      <w:pPr>
        <w:pStyle w:val="Heading2"/>
      </w:pPr>
      <w:r>
        <w:t>Title</w:t>
      </w:r>
    </w:p>
    <w:p>
      <w:r>
        <w:t>An explanatory SEM-PLS study of how financial literacy, hedonistic lifestyle, and PayLater influence Generation Z students' online impulse buying through perceived risk</w:t>
      </w:r>
    </w:p>
    <w:p>
      <w:r>
        <w:t xml:space="preserve"> </w:t>
      </w:r>
    </w:p>
    <w:p>
      <w:pPr>
        <w:pStyle w:val="Heading2"/>
      </w:pPr>
      <w:r>
        <w:t>Short Hypothesis</w:t>
      </w:r>
    </w:p>
    <w:p>
      <w:r>
        <w:t>Increased use of PayLater causally increases Generation Z students' impulsive online purchases by reducing their perceived risk of buying.</w:t>
      </w:r>
    </w:p>
    <w:p>
      <w:r>
        <w:t xml:space="preserve"> </w:t>
      </w:r>
    </w:p>
    <w:p>
      <w:pPr>
        <w:pStyle w:val="Heading2"/>
      </w:pPr>
      <w:r>
        <w:t>Related Work</w:t>
      </w:r>
    </w:p>
    <w:p>
      <w:r>
        <w:t>Prior work measured links among financial literacy, hedonistic lifestyle, buy-now-pay-later (BNPL/PayLater) use, perceived risk, and impulse buying using survey and statistical models. Common approaches apply cross-sectional structural equation modeling (SEM) or partial least squares SEM (SEM-PLS), and report associations and mediation by perceived risk. Limitations remain: most studies are cross-sectional and cannot separate cause and effect over time; measurement often relies only on self-report scales without behavioral validation; samples are small or convenience-based, limiting power and generalizability; few works exploit natural experiments or instrumental variables (IVs) to support causal claims; mediator measurement error and temporal ordering (which variable measured when) are often not pre-registered or tested. Technical terms: SEM-PLS is a way to estimate relationships among hidden traits (latent variables) using survey items; IVs are external sources of variation that can help identify causal effects if they affect the treatment but not the outcome directly.</w:t>
      </w:r>
    </w:p>
    <w:p>
      <w:r>
        <w:t xml:space="preserve"> </w:t>
      </w:r>
    </w:p>
    <w:p>
      <w:pPr>
        <w:pStyle w:val="Heading2"/>
      </w:pPr>
      <w:r>
        <w:t>Abstract</w:t>
      </w:r>
    </w:p>
    <w:p>
      <w:r>
        <w:t>This study tests whether PayLater (BNPL) increases impulsive online buying among Generation Z students via changes in perceived risk, and how financial literacy and hedonistic lifestyle moderate these effects. We combine an explanatory survey with linked transaction indicators and causal probes: latent-variable structural models estimated with SEM-PLS, within-person panel analysis (RI-CLPM) to separate short-term dynamics from stable traits, and instrumental-variable (IV) tests where natural variation exists (e.g., staggered PayLater rollout or randomized UI friction). Main contributions are (1) pre-registered measurement battery and behavioral validation of an operational impulse-buy definition, (2) a causal-identification plan with falsification tests and sensitivity benchmarks, and (3) Monte Carlo-derived sample-size guidance and analytic code for estimating average treatment effects, within-person indirect effects, and complier LATEs. Expected outcomes are precise estimates of direct and mediated PayLater effects, quantification of moderation by financial literacy and hedonistic lifestyle, and reproducible protocols for policy-relevant inference about BNPL and impulsive buying.</w:t>
      </w:r>
    </w:p>
    <w:p>
      <w:r>
        <w:t xml:space="preserve"> </w:t>
      </w:r>
    </w:p>
    <w:p>
      <w:pPr>
        <w:pStyle w:val="Heading2"/>
      </w:pPr>
      <w:r>
        <w:t>Experiments</w:t>
      </w:r>
    </w:p>
    <w:p>
      <w:r>
        <w:t>Datasets: (A) Primary survey panel of Generation Z students with linked transaction records (target full-study n scenarios below); (B) pilot validation sample n=350-400 for impulse-buy behavioral rule ROC testing. Transaction linkage yields timestamps and PayLater flags. Baselines: (1) cross-sectional SEM-PLS (naive association), (2) SEM with FIML latent mediation, (3) RI-CLPM within-person mediation, (4) IV two-stage least squares (2SLS) for PL→IB when IV available, (5) multigroup SEM and interaction-term SEM for moderation. Evaluation metrics: point estimates and 95% CIs for direct and indirect effects; bias, RMSE, coverage, Type-I error, and power from Monte Carlo; first-stage F and partial R2 for IVs; AUC (area under ROC curve) for behavioral impulse-buy rule validation; standardized mean differences (SMD) for balance checks. Experimental setup: Pre-register measurement cadence mapping (e.g., PL exposure window = 30 days, mediator PR measured immediately after exposure window, IB measured as purchases in next 30 days). Monte Carlo: 1,000 simulated datasets per scenario, vary mediator reliability r∈{0.60,0.80}, PL→PR a∈{−0.10,−0.20,−0.30}, PR→IB b∈{−0.15,−0.30,−0.45}; include clustering by participant, AR(1) residuals, and attrition mechanisms MAR and MNAR. Sample-size/MDE checks: estimate required n for 80% power for indirect effect ab small≈0.015 (n≈1,800–2,200), medium≈0.06 (n≈500–800), large≈0.135 (n≈200–350); moderated-mediation detection needs n≈800–1,500 depending on moderator effect. Ablation studies: (i) remove latent-variable measurement-error correction to measure attenuation, (ii) omit IVs to compare naive vs IV estimates, (iii) compare interaction-term vs multi-group moderator parameterizations. Reproducibility: run all analyses with fixed seeds, R and Python scripts published with synthetic data; Monte Carlo code uses 1,000 sims per scenario.</w:t>
      </w:r>
    </w:p>
    <w:p>
      <w:r>
        <w:t xml:space="preserve"> </w:t>
      </w:r>
    </w:p>
    <w:p>
      <w:pPr>
        <w:pStyle w:val="Heading2"/>
      </w:pPr>
      <w:r>
        <w:t>Risk Factors And Limitations</w:t>
      </w:r>
    </w:p>
    <w:p>
      <w:r>
        <w:t>Measurement error: perceived risk and impulse buying are latent constructs measured by items; measurement error can bias mediation estimates. Sample and power: small samples will be underpowered to detect small indirect effects; reported n targets may be infeasible for some subgroups. Selection and linkage bias: consent to link transactions may be nonrandom and produce biased estimates. IV validity: candidate instruments (rollout, merchant shocks, UI randomization) may violate exclusion (affect outcomes through other channels) or monotonicity assumptions. Time-varying confounding: RI-CLPM and fixed-effects reduce time-invariant confounders but cannot rule out unobserved time-varying confounders. Generalizability: results on Generation Z students may not extend to older consumers or other countries. Ethical and privacy constraints: transaction linkage requires consent and strict governance, limiting data sharing; synthetic data may not capture all real-data complexities. Computational limits: Monte Carlo with clustering and MNAR scenarios is compute-intensive and may require high-performance resources. Model-respecification risk: data-driven SEM adjustments can overfit if respecification rules are not strictly followed.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