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undoing_gender_german_women_tech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A mixed-methods, multimodal measurement and causal-inference study of how women tech founders in Germany construct visibility and whether they enact doing, redoing, or undoing gender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Adoption of formal gender-equity policies or participation in gender-aware funding/programs by startups causally increases the prevalence of founder visibility behaviors classified as 'undoing gender' compared with similar startups that do not adopt such policies.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work uses three main approaches: (1) qualitative ethnography and interviews that provide rich descriptions of gendered practices but are limited by small samples and weak external validity; (2) quantitative funding, firm-performance, and network studies that measure macro outcomes (funding amounts, exits) but rarely link those outcomes to micro-level visibility practices or multimodal evidence; (3) computational text analyses (NLP) that quantify gendered language in pitches and media but often rely on lexicons or models not validated for German multimodal settings. Limitations across these approaches include: lack of validated, multimodal measures that connect speech, embodied presentation, and documents; weak causal identification or insufficient sensitivity checks for staggered policy timing and spillovers; limited treatment of intersectional markers under GDPR constraints; and scarce integration of manual coding reliability with automated classifiers. These gaps leave unresolved how policy or firm-level interventions change the micro-practices of visibility (doing/redoing/undoing gender) in German tech startups.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Problem: We study whether and how women tech founders in Germany shape public visibility in ways that reproduce, restructure, or eliminate traditional gender distinctions (doing, redoing, undoing gender). Approach: We develop validated, multimodal indicators of visibility from interviews, pitch videos, slides, and firm documents; produce a manually coded gold standard (300–500 labeled segments per modality); train supervised NLP classifiers; and construct latent Doing/Redoing/Undoing indices via confirmatory factor analysis (CFA). For causal inference we use staggered difference-in-differences estimators (Callaway–Sant’Anna; Sun–Abraham), synthetic controls, and pre-specified IVs tied to regional policy rollouts. Main contribution: a reproducible measurement pipeline that triangulates manual codes, automated classifiers, and firm/policy records, plus robust causal estimates of how policy or firm actions shift visibility practices. Expected outcome: validated measures (classifier F1 and coder reliability targets), firm-level indices with documented uncertainty, and causal estimates with sensitivity checks that jointly inform theory and policy on gendered visibility in tech. (CFA = a test that builds a latent score from multiple observed indicators.)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Phase 1 qualitative interviews n≈40 (diverse by region, sector, motherhood and migration); multimodal artifacts for same firms: pitch videos (all available), slide decks, media articles, job ads; labeled segments: 300–500 segments per modality for training/validation. Phase 2: firm-panel dataset of N≈300–500 startups (panel years as available) merged with Dealroom/Crunchbase and Handelsregister linkage; survey or structured questionnaire N≥250–350 for CFA sample. Baselines: (A) manual-coded only aggregation; (B) rule-based classifiers using lexicons/regex; (C) German pre-trained transformer (German BERT/deBERTa) fine-tuned; (D) active-learning augmented fine-tuning. Unitization: interview unit = speaker turn capped at 250 words/60s; pitch = 30s segments aligned to slide changes; document = slide or paragraph; media = sentence-level. Evaluation metrics: NLP—precision, recall, F1, confusion matrix; annotation—Cohen's kappa for categorical codes (target ≥0.70), ICC for ordinal scales (target ≥0.75); CFA—factor loadings, RMSEA, CFI, TLI; causal—average treatment on treated (ATT) with 95% CI, event-study lead/lag coefficients, first-stage F for IV, placebo-window coefficients, Rosenbaum bounds for unobserved confounding. Experiments: 1) Measurement validation: compare classifier (C) vs rule-based (B) vs manual-only (A) on holdout; ablation: transformer with vs without German transfer learning and with vs without active learning. Report F1 and confusion matrices. 2) Latent construction: estimate CFA on survey + coded indicators; ablate by removing modalities (speech-only, video-only, document-only) and report changes in loadings and fit indices. 3) Causal inference: primary estimator = Callaway–Sant’Anna (cohort ATT); robustness: Sun–Abraham and TWFE with Goodman–Bacon decomposition. Compare ATT estimates across estimators. 4) Synthetic control: for region-level policy cases, construct donor pool and compare SC estimates to DiD. 5) IV tests: pre-specify instruments (policy eligibility cutoffs); report first-stage F, AR CIs, and falsification placebo outcomes. 6) Sensitivity and inference: run placebo windows, leave-one-region-out, wild cluster bootstrap where cluster count or size triggers small-cluster rules, and compare IPW vs unweighted ATT to test selection correction. 7) Error propagation: compare causal estimates using (i) hard classifier labels, (ii) multiple imputation of label uncertainty (draw labels from classifier probabilities), and (iii) manual-only labels for a subsample; report effect differences and standard-error inflation. Software &amp; reproducibility: use version-controlled R/Python pipelines; produce confusion matrices, kappa/ICC tables, CFA fit reports, event-study plots, and simulation-based power memo. Decision thresholds: classifier F1 ≥0.75 and coder kappa ≥0.70 required before full automation; if not met, escalate per pre-specified fallback.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Technical failures: NLP classifiers may not reach F1 targets in German multimodal data, causing reliance on slower manual coding. Data biases: Dealroom/Crunchbase coverage is incomplete and may over-represent funded or visible firms, producing selection bias. Linkage error: fuzzy-match errors in registry linkage can create misclassification of treatment or covariates. Small-cluster inference: few treated clusters or few treated regions may invalidate standard cluster-robust SEs. Spillovers and SUTVA violation: firms in shared ecosystems can influence each other, violating no-interference assumptions. Anticipation and timing: founders may change visibility before recorded policy dates, violating no-anticipation. GDPR constraints: legal limits on collecting ethnicity/disability may reduce intersectional granularity. Generalization: results from German ecosystems may not transfer to other national contexts. Resource limits: annotation budgets or recruitment shortfalls may reduce labeled training size below recommended 300–500 segments per modality, weakening classifier performance and CFA stability. Measurement aggregation: unitization choices (segment length) may induce measurement error when aggregating to firm-level indices.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