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ifrs_blockchain_em_vietnam</w:t>
      </w:r>
    </w:p>
    <w:p>
      <w:r>
        <w:t xml:space="preserve"> </w:t>
      </w:r>
    </w:p>
    <w:p>
      <w:pPr>
        <w:pStyle w:val="Heading2"/>
      </w:pPr>
      <w:r>
        <w:t>Title</w:t>
      </w:r>
    </w:p>
    <w:p>
      <w:r>
        <w:t>Quantitative analysis of how IFRS adoption affects earnings management and how blockchain adoption moderates that effect in nonfinancial listed firms in Vietnam using modified Jones accruals and hierarchical regression</w:t>
      </w:r>
    </w:p>
    <w:p>
      <w:r>
        <w:t xml:space="preserve"> </w:t>
      </w:r>
    </w:p>
    <w:p>
      <w:pPr>
        <w:pStyle w:val="Heading2"/>
      </w:pPr>
      <w:r>
        <w:t>Short Hypothesis</w:t>
      </w:r>
    </w:p>
    <w:p>
      <w:r>
        <w:t>Voluntary IFRS adoption by Vietnamese nonfinancial listed firms reduces earnings management, and this reduction is larger for firms that have adopted blockchain technology.</w:t>
      </w:r>
    </w:p>
    <w:p>
      <w:r>
        <w:t xml:space="preserve"> </w:t>
      </w:r>
    </w:p>
    <w:p>
      <w:pPr>
        <w:pStyle w:val="Heading2"/>
      </w:pPr>
      <w:r>
        <w:t>Related Work</w:t>
      </w:r>
    </w:p>
    <w:p>
      <w:r>
        <w:t>Prior work studies two streams: (1) the effect of IFRS (or IFRS-like) accounting adoption on earnings management, typically using accrual-based measures and difference-in-differences or panel regressions; results are mixed—some studies find reduced earnings management, others find no change or increased discretion. Limitations include failure to handle staggered or voluntary adoption timing, weak attention to measurement of actual adoption intensity, and limited mediation analysis. (2) Emerging research on blockchain in accounting argues blockchain can increase record immutability and transparency, implying lower earnings management, but empirical tests are scant, measurements are noisy (marketing vs implementation), and endogeneity is not well addressed. Methodological gaps: reliable blockchain adoption coding, misclassification correction, weak-instrument risk, small-cluster inference, spillovers between firms, and mediation of effects through audit trails. No prior work jointly examines voluntary IFRS adoption, a validated blockchain adoption measure, and their interaction in a Vietnamese setting.</w:t>
      </w:r>
    </w:p>
    <w:p>
      <w:r>
        <w:t xml:space="preserve"> </w:t>
      </w:r>
    </w:p>
    <w:p>
      <w:pPr>
        <w:pStyle w:val="Heading2"/>
      </w:pPr>
      <w:r>
        <w:t>Abstract</w:t>
      </w:r>
    </w:p>
    <w:p>
      <w:r>
        <w:t>This study measures how voluntary IFRS adoption affects earnings management in Vietnamese nonfinancial listed firms and tests whether blockchain adoption moderates that effect. We combine survey data from CFOs and accountants with firm financial statements (2022–2024) for 218 firms. Earnings management is measured with modified Jones residuals (an accrual-based abnormality measure) and supplemented by real-activity proxies. Blockchain adoption is coded with explicit textual and implementation rules and summarized via a latent intensity index (confirmatory factor analysis). The empirical strategy estimates hierarchical regressions with an IFRS indicator, blockchain index, and their interaction, and uses staggered-adoption and IV methods (distance to fintech hubs, regulator pilot eligibility) to address endogeneity. The main contribution is a validated, multi-method test of whether blockchain strengthens IFRS’ effect on accounting quality during a voluntary adoption phase. Expected outcome: evidence on whether technology-based transparency complements accounting standards in reducing earnings management and guidance for regulators and auditors in emerging markets.</w:t>
      </w:r>
    </w:p>
    <w:p>
      <w:r>
        <w:t xml:space="preserve"> </w:t>
      </w:r>
    </w:p>
    <w:p>
      <w:pPr>
        <w:pStyle w:val="Heading2"/>
      </w:pPr>
      <w:r>
        <w:t>Experiments</w:t>
      </w:r>
    </w:p>
    <w:p>
      <w:r>
        <w:t>Datasets: (a) firm-year financials for 218 Vietnamese nonfinancial listed firms, 2022–2024; (b) survey responses from CFOs/accountants on blockchain implementation, audit-trail practices, and smart-contract use; (c) textual disclosures (annual reports, MD&amp;A, press releases) for blockchain coding; (d) auxiliary data: firm headquarters location, auditor, industry, and fintech hub coordinates. Baselines: (1) pooled OLS with firm and year fixed effects; (2) hierarchical (multilevel) regression with firms nested in industry/province; (3) staggered DiD via Callaway &amp; Sant'Anna group-time ATT and Sun &amp; Abraham event-study; (4) IV panel regressions using instruments: distance to nearest fintech/blockchain hub and regulator pilot-eligibility indicator. Main outcome: abnormal accruals from the modified Jones model with Kothari performance adjustment (abnormal accruals = residuals from expected accruals regression; Kothari adjustment controls for performance). Controls: size, leverage, ROA, auditor type, growth, prior accruals, industry-year trends. Blockchain variables: binary adoption (thresholds 1/3/5/10 mentions and implementation evidence) and continuous CFA-based intensity score (latent factor combining project count, CAPEX share, on-chain transaction share, textual depth). Estimation specifics: cluster standard errors at firm level; report two-way clustering (firm×industry) and wild-cluster bootstrap if clusters&lt;40. IV diagnostics: first-stage F-statistic (&gt;10), partial R2, overidentification tests where applicable. Mediation: sequential g-estimation of audit-trail completeness and automated reconciliations as mediators. Evaluation metrics: coefficient magnitude and t-stat for IFRS, blockchain, and interaction; effect sizes in SD units of abnormal accruals; percent change in probability of significant audit adjustments; first-stage F and weak-IV diagnostics; pre-trend joint F-tests for event studies. Ablation studies: (A) compare binary vs continuous blockchain measures; (B) remove firms with marketing-only blockchain mentions; (C) misclassification correction using manual-validation sensitivity/specificity matrix and probabilistic bias analysis; (D) alternative EM outcomes (real-activity proxies and winsorization levels). Reporting: present primary specification (pre-registered), plus sensitivity table with all ablations and multiple-testing adjustments (FDR within outcome families).</w:t>
      </w:r>
    </w:p>
    <w:p>
      <w:r>
        <w:t xml:space="preserve"> </w:t>
      </w:r>
    </w:p>
    <w:p>
      <w:pPr>
        <w:pStyle w:val="Heading2"/>
      </w:pPr>
      <w:r>
        <w:t>Risk Factors And Limitations</w:t>
      </w:r>
    </w:p>
    <w:p>
      <w:r>
        <w:t>Measurement risk: blockchain disclosures are rare and marketing-heavy, causing misclassification and low prevalence of true adopters. Coding errors may bias estimates. Identification risk: blockchain adoption and IFRS adoption may be endogenous (firms that adopt both may differ on unobserved governance), and instruments (distance, pilot lists) may be weak or violate exclusion. Small-sample inference: few treated clusters or few true blockchain adopters reduce power and make clustering inference fragile. Time window: limited post-adoption years (2022–2024) may miss long-run effects. Survey risk: low response rates, social-desirability bias, and missing mediator measures. Accrual measurement: accounting data quality and component misreporting can bias modified Jones estimates. Spillovers: SUTVA violations if firms influence peers via auditors, industry networks, or geography. External validity: results from Vietnam’s nonfinancial listed firms may not generalize to other countries, private firms, or financial sector firms. Computational limits: IV and event-study estimators with bootstrap inference and many robustness checks may be computationally intensive.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