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ad_value_covid_kr</w:t>
      </w:r>
    </w:p>
    <w:p>
      <w:r>
        <w:t xml:space="preserve"> </w:t>
      </w:r>
    </w:p>
    <w:p>
      <w:pPr>
        <w:pStyle w:val="Heading2"/>
      </w:pPr>
      <w:r>
        <w:t>Title</w:t>
      </w:r>
    </w:p>
    <w:p>
      <w:r>
        <w:t>Bayesian IV time-varying parameter analysis of the value relevance of advertising expenditures around COVID-19 in the Korean stock market</w:t>
      </w:r>
    </w:p>
    <w:p>
      <w:r>
        <w:t xml:space="preserve"> </w:t>
      </w:r>
    </w:p>
    <w:p>
      <w:pPr>
        <w:pStyle w:val="Heading2"/>
      </w:pPr>
      <w:r>
        <w:t>Short Hypothesis</w:t>
      </w:r>
    </w:p>
    <w:p>
      <w:r>
        <w:t>Increases in advertising intensity (advertising expenses divided by sales) cause higher firm value (measured by Tobin's Q) more strongly during the during-COVID period (2020–2021) than in the pre-COVID period (2018–2019).</w:t>
      </w:r>
    </w:p>
    <w:p>
      <w:r>
        <w:t xml:space="preserve"> </w:t>
      </w:r>
    </w:p>
    <w:p>
      <w:pPr>
        <w:pStyle w:val="Heading2"/>
      </w:pPr>
      <w:r>
        <w:t>Related Work</w:t>
      </w:r>
    </w:p>
    <w:p>
      <w:r>
        <w:t>Existing research examines (1) advertising effectiveness on sales and firm value using static panel regressions and (2) advertising behavior during crises using descriptive or short-window event studies. Separately, econometric work on time-varying parameters (TVP) and regime-switching models models coefficients that change over time, and instrumental-variable (IV) techniques address endogeneity of advertising. Limitations remain: static panels ignore coefficient drift and short-lived regime changes; many studies do not correct for measurement error in reported ad spending or for nonrandom missing reporting (MNAR); few integrate IV identification with TVP estimation to handle time-varying endogeneity; channel-disaggregated (digital vs traditional) value analyses are rare due to licensing gaps; and simulation-based calibration for detectability of transient effects is uncommon. Overall, prior methods either trade off dynamic flexibility for identification or vice versa, leaving unresolved how advertising value evolved across pandemic phases with credible causal claims.</w:t>
      </w:r>
    </w:p>
    <w:p>
      <w:r>
        <w:t xml:space="preserve"> </w:t>
      </w:r>
    </w:p>
    <w:p>
      <w:pPr>
        <w:pStyle w:val="Heading2"/>
      </w:pPr>
      <w:r>
        <w:t>Abstract</w:t>
      </w:r>
    </w:p>
    <w:p>
      <w:r>
        <w:t>We study how the relationship between advertising intensity and firm value changed across pre-COVID (2018–2019), during-COVID (2020–2021), and post-COVID (2022–2023) periods for Korean listed firms. We propose a primary estimator: a Bayesian instrumental-variable time-varying parameter (IV-TVP) state-space model that jointly estimates a latent true advertising series and a time-varying coefficient linking advertising intensity to Tobin's Q, while allowing instrument strength and endogeneity to evolve over time. The approach integrates documented exogenous instruments (e.g., published KOBACO rate-card changes and regional media-inventory shocks), latent measurement-error modeling using a Nielsen/KOBACO validation subsample, and a pre-registered simulation-based calibration (SBC) to set detectable effect sizes. Main contributions: (1) causal identification of dynamic advertising value around COVID-19, (2) measurement-error-corrected time paths of economic effects (ΔMarketCap and ROAS), and (3) reproducible protocols for instrument validation, sensitivity (Conley bounds), and model selection (LOO/WAIC). Expected outcome: credible estimates of when and how advertising spending affected firm value during pandemic regimes, with quantified uncertainty and practical economic translations.</w:t>
      </w:r>
    </w:p>
    <w:p>
      <w:r>
        <w:t xml:space="preserve"> </w:t>
      </w:r>
    </w:p>
    <w:p>
      <w:pPr>
        <w:pStyle w:val="Heading2"/>
      </w:pPr>
      <w:r>
        <w:t>Experiments</w:t>
      </w:r>
    </w:p>
    <w:p>
      <w:r>
        <w:t>Datasets: quarterly panel of Korean listed firms 2018Q1–2023Q4 from KRX (prices, shares, market cap), DART (quarterly financials, advertising expense), Nielsen/KOBACO (matched channel-level ad spend where licensed), COVID indicators (national/regional cases, mobility/lockdown indices), and instrument archive (KOBACO rate-card PDFs, documented event cancellations, platform inventory announcements). Sample: primary N≈300 firms, alternative N=150. T≈24–28 quarters. Variable construction: advertising intensity = Ad/Sales (primary) and Ad/Assets (sensitivity); outcome Tobin's Q = market value of assets / book assets (quarterly). Baselines: (A) pooled OLS, (B) firm fixed-effects panel OLS, (C) panel TVP without IV, (D) constant-IV two-stage least squares, (E) system GMM with spline time-varying coefficients. Primary estimator: Bayesian IV-TVP state-space with control-function correction and latent Ad*. Model variants: random-walk TVP, AR(1) TVP, regime-switching TVP. Measurement-error corrections: Bayesian latent measurement model, SIMEX, regression-calibration. Simulations (SBC): grids N∈{150,300}, T∈{20,28,40}, measurement-error var∈{10%,30%,50%}, effect sizes producing Δlog(MarketCap)∈{0.01,0.02,0.05}; scenarios include bidirectional feedback, abrupt break at COVID onset, MNAR under-reporting. Estimation windows: full sample and subperiods pre/during/post. Evaluation metrics: bias and RMSE of estimated β_t in simulations; coverage probability of 95% credible intervals; out-of-sample rolling RMSE; LOO/WAIC for model selection; first-stage diagnostics (first-stage F, Kleibergen-Paap rk), Hansen J for overidentification; power curves from SBC; economic translations: ΔMarketCap and ROAS with posterior percentiles. Ablation studies: (1) IV-TVP vs TVP without IV; (2) with vs without measurement-error correction; (3) random-walk vs AR(1) vs regime-switching; (4) channel-aggregated vs channel-disaggregated ad inputs (where available). Robustness and falsification: placebo event dates, negative-control outcomes (employee counts, raw material purchases), permutation of instrument assignments, and time-sliced weak-IV checks (rolling first-stage F). Multiple testing: report familywise and FDR-adjusted results for time-slice inferences.</w:t>
      </w:r>
    </w:p>
    <w:p>
      <w:r>
        <w:t xml:space="preserve"> </w:t>
      </w:r>
    </w:p>
    <w:p>
      <w:pPr>
        <w:pStyle w:val="Heading2"/>
      </w:pPr>
      <w:r>
        <w:t>Risk Factors And Limitations</w:t>
      </w:r>
    </w:p>
    <w:p>
      <w:r>
        <w:t>Instrument validity risk: candidate instruments (rate-card changes, event cancellations) may violate exclusion if correlated with unobserved local shocks; instrument strength may vary over time and become weak in subperiods. Validation-subsample limits: Nielsen/KOBACO matches may be small or nonrepresentative, limiting ability to identify measurement-error models. MNAR reporting: ad spending may be systematically under-recorded during crisis, causing bias that is hard to fully identify. Computational cost and convergence: Bayesian IV-TVP and particle-MCMC are compute intensive for large N×T; MCMC nonconvergence or low effective sample size (ESS) can invalidate inference. Detectability limits: brief transient spikes in β_t (short-lived regime shifts) may be underpowered even with SBC calibration. Generalizability: results are specific to Korean listed firms and regulatory/media structures; transfer to other markets is limited. Multiple inference and heterogeneity: many time-slice and subgroup tests increase false-discovery risk and complicate interpretation. Data licensing and timing: channel-disaggregated data availability depends on licensing; staged releases may limit some channel analyses. Measurement definition limits: using Ad/Sales scales may not capture promotional intensity differences across industries or firm accounting practices.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