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penta_helix_dfe_surakarta</w:t>
      </w:r>
    </w:p>
    <w:p>
      <w:r>
        <w:t xml:space="preserve"> </w:t>
      </w:r>
    </w:p>
    <w:p>
      <w:pPr>
        <w:pStyle w:val="Heading2"/>
      </w:pPr>
      <w:r>
        <w:t>Title</w:t>
      </w:r>
    </w:p>
    <w:p>
      <w:r>
        <w:t>A hybrid agent-based and system-dynamics evaluation of the penta-helix model for organizing multi-sector collaboration to sustain urban digital literacy resilience</w:t>
      </w:r>
    </w:p>
    <w:p>
      <w:r>
        <w:t xml:space="preserve"> </w:t>
      </w:r>
    </w:p>
    <w:p>
      <w:pPr>
        <w:pStyle w:val="Heading2"/>
      </w:pPr>
      <w:r>
        <w:t>Short Hypothesis</w:t>
      </w:r>
    </w:p>
    <w:p>
      <w:r>
        <w:t>Emergent boundary-spanning brokerage (brokerage propensity B &gt; 0.6) causally reduces coordination latency (CL) and thereby increases program legitimacy (L) in city digital literacy initiatives.</w:t>
      </w:r>
    </w:p>
    <w:p>
      <w:r>
        <w:t xml:space="preserve"> </w:t>
      </w:r>
    </w:p>
    <w:p>
      <w:pPr>
        <w:pStyle w:val="Heading2"/>
      </w:pPr>
      <w:r>
        <w:t>Related Work</w:t>
      </w:r>
    </w:p>
    <w:p>
      <w:r>
        <w:t>Existing work falls into three strands: (1) descriptive and normative studies of multi-sector frameworks (e.g., penta/quadruple helix) that define actor roles but seldom measure dynamic performance; (2) computational socio-technical models (agent-based models, network diffusion, and system-dynamics) that simulate resilience and information spread but typically use synthetic or coarse empirical inputs and do not model multi-layer governance explicitly; (3) mixed-method evaluations of digital literacy and smart-city programs that rely on interviews and policy analysis but rarely integrate those qualitative data into calibrated simulation models. Limitations in current approaches include: coarse or fixed role definitions (no emergent boundary-spanners), weak empirical grounding of priors and hyperparameters, limited treatment of measurement error for public proxies (media timelines, advisories), lack of formal identifiability diagnostics (equifinality problems), minimal adversarial stress testing, and few reproducible pipelines that combine interview-based priors with multi-layer network generators. These gaps reduce policy applicability and hinder robust causal claims.</w:t>
      </w:r>
    </w:p>
    <w:p>
      <w:r>
        <w:t xml:space="preserve"> </w:t>
      </w:r>
    </w:p>
    <w:p>
      <w:pPr>
        <w:pStyle w:val="Heading2"/>
      </w:pPr>
      <w:r>
        <w:t>Abstract</w:t>
      </w:r>
    </w:p>
    <w:p>
      <w:r>
        <w:t>This study assesses whether the penta-helix model (academia, business, government, community, media) effectively coordinates multi-sector actors to sustain digital literacy resilience during urban digital transformation. We combine a qualitative case study of Surakarta (semi-structured interviews with penta-helix representatives and municipal document analysis) with a calibrated hybrid model: a 1,000-agent agent-based model (ABM) coupled to a minimal system-dynamics (SD) loop. We operationalize three indicators—coordination latency (CL), legitimacy score (L), and brokerage propensity (B)—and derive measurement-error models for public proxies (alerts, media timelines). Calibration uses public feeds (CISA KEV, NVD, GDELT) and interview-informed priors via structured elicitation. The main contributions are: (1) reproducible indicator definitions and priors annex, (2) a multi-layer synthetic network generator matched to empirical summaries, (3) adversarial scenario packs and stress tests, and (4) a validation and identifiability protocol. Expected outcomes are falsifiable evidence on the limits of penta-helix coordination, quantified uncertainty for policy indicators, and a reusable pipeline for urban resilience evaluation.</w:t>
      </w:r>
    </w:p>
    <w:p>
      <w:r>
        <w:t xml:space="preserve"> </w:t>
      </w:r>
    </w:p>
    <w:p>
      <w:pPr>
        <w:pStyle w:val="Heading2"/>
      </w:pPr>
      <w:r>
        <w:t>Experiments</w:t>
      </w:r>
    </w:p>
    <w:p>
      <w:r>
        <w:t>Datasets: (a) Qualitative: 30–40 semi-structured interviews with Surakarta penta-helix representatives and municipal policy documents; (b) Public proxies: CISA KEV alerts (timing), NVD/CVE listings (vulnerability events), GDELT media timelines (news spikes), optional BGPStream telemetry for infra context. Baselines: (1) static penta-helix roles (no role change), (2) random network topology baseline, (3) no-boundary-spanner ABM (brokerage disabled), (4) alternative weighting schemes for legitimacy (different α,β,γ). Metrics: coordination latency CL (hours, weighted mean), legitimacy L ∈[0,1], brokerage B ∈[0,1], time-to-recovery MAE (hours), dynamic time warping (DTW) similarity for disruption trajectories, peak-disruption error (%), posterior predictive checks, ESS (effective sample size) and Fisher eigenvalues for identifiability, inter-coder reliability Krippendorff's α for annotations. Setup: implement 1k-agent ABM with multi-layer network (digital, information, governance), SD stocks for resources and legitimacy, priors (LogNormal for delays, Beta/Dirichlet for normalized components). Calibration: ABC-SMC (approximate Bayesian computation - sequential Monte Carlo) using public proxies and interview priors; ensemble size 1,000 simulations for calibration. Validation: holdout 4–6 heterogeneous external cases, reserve 2 for out-of-sample tests. Adversarial tests: scenarios (withholding, misinformation, broker removal, supply-chain compromise) run as stress experiments. Ablations: (A) remove emergent brokerage mechanism to test causal effect of B on CL and L; (B) remove measurement-error modeling (treat proxies as exact) to measure bias from ignoring observation noise. Evaluation: compare baselines and ablations on CL, L, MAE, DTW similarity, and identifiability metrics. Compute estimates: pilot calibration ~50–200 core-hours; emulator training (if used) ~10–50 GPU/core-hours.</w:t>
      </w:r>
    </w:p>
    <w:p>
      <w:r>
        <w:t xml:space="preserve"> </w:t>
      </w:r>
    </w:p>
    <w:p>
      <w:pPr>
        <w:pStyle w:val="Heading2"/>
      </w:pPr>
      <w:r>
        <w:t>Risk Factors And Limitations</w:t>
      </w:r>
    </w:p>
    <w:p>
      <w:r>
        <w:t>Data biases: public proxies are biased (GDELT favors large outlets/languages; KEV has geographic/sector skew), which may skew calibration. Small-n qualitative data: Surakarta interviews may not generalize to other cities. Identifiability: parameter equifinality may prevent unique recovery of some parameters despite ABC-SMC. Measurement error: hand annotation costs and lower reliability (Krippendorff's α below target) will limit proxy validity. Adversary uncertainty: attacker models rely on limited historical calibration and may not cover novel strategies. Scalability: full-scale extensions beyond 1k agents require emulators and greater compute budgets. Ethical/legal: restricted access to sensitive logs (IRB/DUA) may limit empirical grounding and open publication. Generalization limits: findings are specific to urban governance structure and may not transfer to different legal or cultural contexts. Emulator risk: surrogate models can introduce bias under regime shifts not seen in training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