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zakat_welfare_reputation_pls</w:t>
      </w:r>
    </w:p>
    <w:p>
      <w:r>
        <w:t xml:space="preserve"> </w:t>
      </w:r>
    </w:p>
    <w:p>
      <w:pPr>
        <w:pStyle w:val="Heading2"/>
      </w:pPr>
      <w:r>
        <w:t>Title</w:t>
      </w:r>
    </w:p>
    <w:p>
      <w:r>
        <w:t>Partial least squares structural equation analysis of the effect of zakat and welfare fund development on Bank Muamalat's reputation using annual reports (2018–2023)</w:t>
      </w:r>
    </w:p>
    <w:p>
      <w:r>
        <w:t xml:space="preserve"> </w:t>
      </w:r>
    </w:p>
    <w:p>
      <w:pPr>
        <w:pStyle w:val="Heading2"/>
      </w:pPr>
      <w:r>
        <w:t>Short Hypothesis</w:t>
      </w:r>
    </w:p>
    <w:p>
      <w:r>
        <w:t>Greater development and more transparent management of zakat and welfare funds by Bank Muamalat cause an increase in the bank's reputation (measured by a latent reputation index combining deposit growth, new account growth, brand/disclosure signals and third-party attestations) within the same fiscal year.</w:t>
      </w:r>
    </w:p>
    <w:p>
      <w:r>
        <w:t xml:space="preserve"> </w:t>
      </w:r>
    </w:p>
    <w:p>
      <w:pPr>
        <w:pStyle w:val="Heading2"/>
      </w:pPr>
      <w:r>
        <w:t>Related Work</w:t>
      </w:r>
    </w:p>
    <w:p>
      <w:r>
        <w:t>Prior work links corporate social responsibility (CSR) and charitable spending to firm reputation and customer behavior, and method papers show PLS-SEM (a variance-based structural equation model, useful with small samples and formative indicators) is widely used to test relationships among latent constructs. In Islamic finance, literature discusses zakat governance, LAZ/BAZNAS roles, and disclosure practices, but most empirical studies are survey-based, cross-sectional, or qualitative. Limitations in existing approaches: heavy reliance on perceptual surveys (vulnerable to common-method bias), few longitudinal documentary analyses using firm reports, limited study of operational transparency indicators, scarce use of robust pre-registered estimators to handle compliance/non-compliance (encouragement designs), and limited addressing of endogeneity (reverse causality: reputation may affect zakat provisioning). Comparative bank-level evidence across multiple years and formal PLS-based causal modeling using annual-report indicators are therefore unresolved gaps.</w:t>
      </w:r>
    </w:p>
    <w:p>
      <w:r>
        <w:t xml:space="preserve"> </w:t>
      </w:r>
    </w:p>
    <w:p>
      <w:pPr>
        <w:pStyle w:val="Heading2"/>
      </w:pPr>
      <w:r>
        <w:t>Abstract</w:t>
      </w:r>
    </w:p>
    <w:p>
      <w:r>
        <w:t>This study tests whether developing and transparently managing zakat and welfare funds influences Bank Muamalat's reputation using a documentary quantitative approach. We extract objective indicators from Bank Muamalat's annual reports (2018–2023) and comparable Indonesian Islamic banks for the same years, construct latent variables for 'zakat &amp; welfare development' and 'reputation', and estimate paths with partial least squares structural equation modeling (PLS-SEM, implemented in WarpPLS). The main contribution is a reproducible, document-based PLS-SEM design that (1) operationalizes transparency and benevolent-use measures from reports, (2) quantifies effect sizes (path coefficients, f2, R2), and (3) evaluates predictive relevance (Q2) and robustness versus OLS and ablated models. Expected outcomes are precise estimates of how much reported zakat development and disclosure explain year-to-year reputation variation, informing whether expanding zakat/welfare programs is likely to improve the bank's reputational and financial indicators.</w:t>
      </w:r>
    </w:p>
    <w:p>
      <w:r>
        <w:t xml:space="preserve"> </w:t>
      </w:r>
    </w:p>
    <w:p>
      <w:pPr>
        <w:pStyle w:val="Heading2"/>
      </w:pPr>
      <w:r>
        <w:t>Experiments</w:t>
      </w:r>
    </w:p>
    <w:p>
      <w:r>
        <w:t>Dataset: annual reports 2018–2023 for Bank Muamalat plus 5–7 peer Indonesian Islamic banks (target observations = banks * years = 36–48). Extracted indicators (manifest variables): zakat_amount (annual nominal), zakat_ratio (% of pre-tax profit or total funds), benevolent_use_ratio (% of zakat spent on welfare categories), beneficiary_count (where reported), transparency_index (count of disclosure items: fund accounting, audit attestation, committee minutes, published beneficiaries; normalized 0–1), third_party_attestation (binary). Reputation latent variable indicators: deposit_growth_rate (annual %), new_accounts_pct (annual %), brand_awards_count (annual integer), disclosure_reputation_score (text-coded presence/strength of reputation statements; normalized). Controls: total_assets, return_on_assets, year fixed effects, bank_type (state/private). Preprocessing: manual coding rules documented; two coders; report Krippendorff's alpha ≥0.80; missing numeric values imputed by last observation carried forward if gap ≤1 year, otherwise flagged. Measurement model (PLS-SEM): define latent constructs and assign reflective vs formative indicators (transparency_index formative; reputation reflective). Assess indicator loadings (&gt;0.7 preferred), composite reliability (&gt;0.7), AVE (&gt;0.5), HTMT (&lt;0.85). Structural model: estimate path coefficients in WarpPLS with bootstrap 5,000 samples for significance (p&lt;0.05), report R2 for reputation, f2 effect sizes, and Q2 via blindfolding (predictive relevance). Baselines: (A) PLS-SEM full model (zakat &amp; transparency -&gt; reputation); (B) PLS-SEM without zakat constructs (controls only); (C) OLS regression of constructed reputation index on zakat indicators + controls; (D) CB-SEM (covariance-based SEM) if sample size and normality permit. Ablations: remove transparency_index; remove benevolent_use_ratio; compare path coefficients and R2. Endogeneity check: include lagged zakat indicators (t-1) as predictors and compare coefficients; if instrument needed use lagged country-level zakat policy shock proxies (if available) and run two-stage least squares (2SLS) as sensitivity. Reporting: full codebook, WarpPLS project files, bootstrap distributions, and a pre-registered analysis plan with primary outcome (single primary: reputation latent variable) and alpha=0.05. Power note: if sample &lt;40 consider reporting results as exploratory and include effect-size confidence intervals.</w:t>
      </w:r>
    </w:p>
    <w:p>
      <w:r>
        <w:t xml:space="preserve"> </w:t>
      </w:r>
    </w:p>
    <w:p>
      <w:pPr>
        <w:pStyle w:val="Heading2"/>
      </w:pPr>
      <w:r>
        <w:t>Risk Factors And Limitations</w:t>
      </w:r>
    </w:p>
    <w:p>
      <w:r>
        <w:t>Small or sparse sample: annual-report-only design yields limited observations (few years), reducing statistical power. Reporting bias: annual reports may omit or overstate zakat/disclosure details (greenwashing), producing measurement error. Construct validity: reputation is proxied by financial and disclosure signals, which may not capture customer perceptions (survey measures absent). Endogeneity/reverse causality: higher reputation may enable larger zakat programs; lagged predictors or instruments may be weak. Coding reliability: manual extraction risks inconsistency; low inter-coder agreement undermines validity. Missing data: key indicators (beneficiary_count, awards) may be absent for many years. Generalization: results apply to Indonesian Islamic banks with published reports and may not generalize to other contexts. Model sensitivity: PLS-SEM assumptions (e.g., formative/reflective choices) affect estimates; results may differ under CB-SEM or OLS. Policy inference limits: documentary associations do not fully substitute for randomized field evidence on causal pathways to customer trust or behavioral change.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