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strategic_decision_map_mediation</w:t>
      </w:r>
    </w:p>
    <w:p>
      <w:r>
        <w:t xml:space="preserve"> </w:t>
      </w:r>
    </w:p>
    <w:p>
      <w:pPr>
        <w:pStyle w:val="Heading2"/>
      </w:pPr>
      <w:r>
        <w:t>Title</w:t>
      </w:r>
    </w:p>
    <w:p>
      <w:r>
        <w:t>PLS-SEM and natural-experiment analysis of strategic decision-making as a mediator of contingency effects on management accounting practice adoption in digital start-ups</w:t>
      </w:r>
    </w:p>
    <w:p>
      <w:r>
        <w:t xml:space="preserve"> </w:t>
      </w:r>
    </w:p>
    <w:p>
      <w:pPr>
        <w:pStyle w:val="Heading2"/>
      </w:pPr>
      <w:r>
        <w:t>Short Hypothesis</w:t>
      </w:r>
    </w:p>
    <w:p>
      <w:r>
        <w:t>Strategic decision-making behavior causally mediates the effect of contingency factors (operational technology, environmental uncertainty, organizational culture, managerial knowledge) on management accounting practice adoption in digital start-ups.</w:t>
      </w:r>
    </w:p>
    <w:p>
      <w:r>
        <w:t xml:space="preserve"> </w:t>
      </w:r>
    </w:p>
    <w:p>
      <w:pPr>
        <w:pStyle w:val="Heading2"/>
      </w:pPr>
      <w:r>
        <w:t>Related Work</w:t>
      </w:r>
    </w:p>
    <w:p>
      <w:r>
        <w:t>Prior work on management accounting practice (MAP) adoption emphasizes contingency theory: context (technology, environment, culture, skills) shapes accounting systems. Separate streams study managerial cognition and strategic decision-making, and others apply structural equation models to link firm traits to MAP. Methodologically, most studies use cross-sectional surveys and correlational SEM (often partial least squares SEM or covariance-based SEM) with self-reported measures. Limitations across approaches include endogeneity (cause and effect are unclear), common-method bias (same respondent reports predictors and outcomes), limited causal identification (few natural experiments or valid instruments), measurement uncertainty about whether MAP dimensions are formative (build the construct) or reflective (reflect the construct), small samples that limit power for mediation and moderation, and weak validation of self-reports with behavioral logs. Existing work rarely combines causal estimators (IV/DiD/event-study), log-based validation, and explicit mediation tests that treat strategic decision-making as the behavioral channel.</w:t>
      </w:r>
    </w:p>
    <w:p>
      <w:r>
        <w:t xml:space="preserve"> </w:t>
      </w:r>
    </w:p>
    <w:p>
      <w:pPr>
        <w:pStyle w:val="Heading2"/>
      </w:pPr>
      <w:r>
        <w:t>Abstract</w:t>
      </w:r>
    </w:p>
    <w:p>
      <w:r>
        <w:t>This study tests whether strategic decision-making—seen as a behavioral mechanism of managerial cognition—is the pathway through which contingency factors (operational technology, environmental uncertainty, organizational culture, managerial knowledge) influence adoption of management accounting practices (MAP) in digital start-ups. We combine a founder/financial-manager survey in Palu, Indonesia with vendor-derived usage logs and externally timed events (funding rounds, accelerator starts, platform policy changes) to enable causal tests. At a high level we estimate mediation models using PLS-SEM and validate findings with DiD/event-study and IV analyses where exogenous timing permits. Main contributions are: (1) identifying the behavioral bridge role of strategic decision-making in MAP adoption, (2) providing pre-registered measurement decision rules and log-validation protocols, and (3) delivering Monte Carlo–based sample targets and robustness checks for moderated mediation. Expected outcomes are quantified indirect effects, boundary conditions across contingencies, and validated measurement instruments that support reproducible causal claims about how digital start-ups translate context into accounting practice change.</w:t>
      </w:r>
    </w:p>
    <w:p>
      <w:r>
        <w:t xml:space="preserve"> </w:t>
      </w:r>
    </w:p>
    <w:p>
      <w:pPr>
        <w:pStyle w:val="Heading2"/>
      </w:pPr>
      <w:r>
        <w:t>Experiments</w:t>
      </w:r>
    </w:p>
    <w:p>
      <w:r>
        <w:t>Datasets: (1) Primary survey of founders and financial managers in digital start-ups in Palu, Indonesia; target sample ranges by power scenario: large-effect N=120–200, medium-effect N=250–400, small-effect N=500–800. Survey items: MAP constructs measured as multi-item scales (3–6 items each, 7-point Likert): budgeting sophistication, performance measurement &amp; analytics, forecasting practices, cost-control routines. Contingency items: operational technology, environmental uncertainty, organizational culture, managerial knowledge (multi-item perceptual scales plus objective proxies: funding stage, headcount). Strategic decision-making: multi-item behavioral scale (information search depth, scenario testing, time-pressure handling). (2) Validation subsample 10–20% with vendor logs (dashboard hits, drill-down depth, A/B test counts) timestamped to 30- and 90-day windows ±7 days. (3) Event datasets for candidate shocks: funding announcement dates, accelerator cohort starts, platform policy change dates, regulator rulings, vendor outages, regional COVID policy shifts. Baselines: (A) direct-effect SEM without mediator; (B) mediator model estimated by PLS-SEM; (C) covariance-based SEM (CB-SEM) comparison; (D) IV 2SLS mediation tests; (E) DiD/event-study models. Evaluation metrics: indirect-effect bootstrap CI (5000 resamples), standardized path coefficients, R-squared for MAP, first-stage F-stat (&gt;10), partial R2, HTMT (&lt;0.85) for discriminant validity, AVE (&gt;0.50) and omega (&gt;0.70) for reflective scales, VIF (&lt;3) for formative checks, RMSEA/CFI/SRMR for CB-SEM, standardized mean differences (SMD)&lt;0.10 for weighting balance, AR/CLR tests for weak IV inference. Experimental setup: preregister item-level scales and primary endpoints; run measurement decision tree (if average inter-dimension r&gt;0.70 then reflective second-order, else formative with confirmatory tetrad analysis CTA-PLS); run Monte Carlo simulations across ICCs {0.01,0.05,0.10}, interaction sizes {0.10,0.20,0.40}, clusters {30,50,100}, and attrition {0,10,20,30}% to pick N; validation: compare self-report vs log measures (expect r&gt;0.30) and run measurement-error corrections (regression calibration or SIMEX) on main models. Causal checks: for each event run DiD/event-study (Callaway &amp; Sant'Anna; Sun &amp; Abraham) with windows −12 to +12 months and placebo windows, test parallel trends, and run IV 2SLS with pre-registered instruments (local accelerator density, founder analytics training exposure, vendor onboarding timing). Ablation studies: (1) remove strategic decision-making mediator and compare indirect vs direct effects; (2) compare reflective vs formative MAP specifications; (3) compare models using self-report MAP only vs log-validated MAP; (4) compare PLS-SEM vs CB-SEM estimates. Reporting: full bootstrap CIs, sensitivity plots for mediation (Imai rho), overidentification (Hansen/Sargan), and weak-IV robust CIs (Anderson–Rubin/CLR).</w:t>
      </w:r>
    </w:p>
    <w:p>
      <w:r>
        <w:t xml:space="preserve"> </w:t>
      </w:r>
    </w:p>
    <w:p>
      <w:pPr>
        <w:pStyle w:val="Heading2"/>
      </w:pPr>
      <w:r>
        <w:t>Risk Factors And Limitations</w:t>
      </w:r>
    </w:p>
    <w:p>
      <w:r>
        <w:t>Weak or invalid instruments (IVs) that fail relevance or exclusion assumptions (relevance means IV predicts mediator; exclusion means IV affects outcome only via mediator). Low survey response or low vendor log access will reduce sample size and raise nonresponse bias. Common-method bias where same respondent reports predictors and outcomes may inflate correlations. Measurement-error in self-reports (attenuation of effects) if logs are unavailable for validation. Small indirect effects require large samples (power risk). Staggered or time-varying treatments can violate DiD assumptions (parallel trends). Spillovers across firms or vendors (interference) can break SUTVA and bias causal estimates. Missing data that are not missing at random (MNAR) can bias results; standard MI/FIML may be insufficient. Generalization is limited to digital start-ups similar to the Palu ecosystem and may not hold in different countries or large firms. Model mis-specification (formative vs reflective errors) can change inference. Computational limits are modest but Monte Carlo and bootstrap routines require time for large-sample scenarios.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