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tastura_oc_debt_mediation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Instrumental-variable mediated structural equation analysis of tastura culture, managerial overconfidence, and SME performance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Debt financing mediates the causal pathway from managerial overconfidence (shaped by local tastura culture) to SME performance: higher overconfidence increases leverage via debt financing which reduces subsequent SME performance.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link local cultural values and managerial overconfidence to SME outcomes and report that firm financing choices (debt) can mediate managerial effects. Prior approaches include cross-sectional regressions, standard mediation models, and partial structural-equation modeling. Key weaknesses remain: (1) measurement problems — overconfidence is often treated as a single survey score without latent-variable correction or cross-cultural invariance testing; (2) endogeneity — culture, manager cognition, and credit access are correlated with omitted local shocks and reverse causality and many studies lack strong instruments or falsification tests; (3) limited mediation identification — few papers use IV-based mediation estimators or g-estimation to recover causal indirect effects; (4) small or convenience samples and limited power for moderated mediation; (5) sparse reporting of numeric thresholds and sensitivity grids (e.g., Conley bounds) to judge robustness. These gaps reduce causal credibility and policy relevance.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debt financing mediates the effect of managerial overconfidence—which itself is shaped by local tastura cultural values—on small and medium enterprise (SME) performance. We combine a manager survey from handicraft SMEs in Central Lombok with geocoded historical instruments (missionary presence, colonial ethnic fractionalization) and exogenous credit-supply shocks (staggered bank-branch openings, program rollouts). We build a latent overconfidence measure from self-reports, vignettes, and behavioral proxies using multitrait-multimethod confirmatory factor models and test measurement invariance across regions. The main identification uses an IV-based mediation estimator (LATE-style indirect effect) and sequential g-estimation as robustness; dynamic ordering is enforced by measuring cognition at t, debt at t+1, and performance at t+2. Main contributions: (1) a preregistered causal DAG and numeric decision rules for instrument strength and sensitivity; (2) integrated psychometric and econometric treatment of overconfidence; (3) IV mediation and falsification suite (first-stage and pleiotropy tests, Conley bounds). Expected outcome: credible causal estimates of the debt-mediated pathway to inform lenders and policy.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Primary survey: manager and firm survey of handicraft SMEs in Central Lombok, current sample N=140 (use for descriptive and robustness analyses); (B) Administrative: geocoded bank-branch opening dates, district credit program rollout dates, credit bureau records, firm registry IDs; (C) Historical instruments: geocoded missionary station density (1870–1930), colonial-era ethnic fractionalization by district; (D) Monte Carlo synthetic datasets for power: N scenarios {140, 400, 800, 1200} with ICC scenarios {0.01,0.05,0.10}. Baselines: (1) OLS mediation (observed OC as single index); (2) SEM-PLS (partial least squares SEM) with manifest indicators; (3) latent SEM (CFA + structural paths) using lavaan; (4) IV mediation (two-stage LATE-based mediation estimator) with credit-supply instruments for mediator; (5) sequential g-estimation; (6) dynamic GMM (system GMM) for panel timing. Evaluation metrics: indirect effect point estimate and 95% CI, standardized path coefficients, p-values, RMSEA and SRMR (fit indices; RMSEA is a fit measure where lower is better), R2 for performance, first-stage F-statistic, Kleibergen-Paap statistic, Hansen overidentification p-value, coverage and bias in MC sims, statistical power and minimal detectable effect sizes (MDES), RMSE for continuous outcomes, AUROC for survival classification. Measurement &amp; pre-processing: build latent OC via MTMM CFA with a correlated method factor; test configural/metric/scalar invariance; compute reliability (omega). Missing data: MICE with m=50 imputations; include auxiliary vars and pool estimates with Rubin's rules. Pre-registered numeric thresholds: accept instruments if first-stage F&gt;10 and Kleibergen-Paap&gt;10; overid p&gt;0.05 for non-rejection; minimum clusters per moderator stratum =30; bootstrap replications =5000 for CI; wild cluster bootstrap for hypothesis tests when clustering at locality. Experimental setup: (i) estimate measurement model; (ii) estimate baseline SEM and SEM-PLS; (iii) run IV mediation with instruments for mediator and report complier profiles; (iv) perform sequential g-estimation; (v) run dynamic GMM for alternative lag orders. Ablation and comparisons: (A) remove latent correction and use observed OC to quantify attenuation bias; (B) compare mediator definitions: total leverage vs short-term debt share vs interest rate vs collateralization; (C) instrument sets: culture-only, debt-only, combined, leave-one-out IV sensitivity; (D) sample-size ablation using MC sims to report required N for MDES; (E) sensitivity ablation: Conley bound grids (max direct effect ∈ {0,0.05,0.10} standardized; omitted R2 ∈ {0,0.05,0.10}). Software: R (lavaan, semTools, plspm, mice), Stata (ivreg2, xtabond2), Mplus for confirmatory checks. Reporting: report primary estimand as LATE-style indirect effect with pre-specified DAG mapping and decision thresholds.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Limited sample size: primary N=140 may lack power for mediated or moderated effects and for ML-free cluster inference. Instrument validity risks: instruments (missionary presence, ethnic fractionalization, branch openings) may have pleiotropic links to outcomes causing biased IV estimates. Measurement problems: differential item functioning or low reliability in overconfidence measures can bias paths even after MTMM. Non-monotone compliance: if instrument effects on mediator vary sign across firms, LATE interpretation weakens. Attrition and missingness: nonrandom dropout or poor linkage to administrative data can bias estimates. External validity: results from handicraft SMEs in Central Lombok may not generalize to other sectors or regions. Model misspecification: SEM and IV-mediation rely on strong causal ordering and exclusion assumptions; violations yield biased mediation decompositions. Computational limits: Monte Carlo grids, bootstrap replications, and SEM with latent MTMM are resource intensive. Social desirability and reporting errors: managers may misreport forecasts or financing decisions, affecting behavioral proxies.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