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climate_finance_sdg7_13_nigeria</w:t>
      </w:r>
    </w:p>
    <w:p>
      <w:r>
        <w:t xml:space="preserve"> </w:t>
      </w:r>
    </w:p>
    <w:p>
      <w:pPr>
        <w:pStyle w:val="Heading2"/>
      </w:pPr>
      <w:r>
        <w:t>Title</w:t>
      </w:r>
    </w:p>
    <w:p>
      <w:r>
        <w:t>A stochastic integrated finance and MRV modelling framework to quantify climate finance needs for achieving SDG7, SDG13 and net‑zero emissions in Nigeria</w:t>
      </w:r>
    </w:p>
    <w:p>
      <w:r>
        <w:t xml:space="preserve"> </w:t>
      </w:r>
    </w:p>
    <w:p>
      <w:pPr>
        <w:pStyle w:val="Heading2"/>
      </w:pPr>
      <w:r>
        <w:t>Short Hypothesis</w:t>
      </w:r>
    </w:p>
    <w:p>
      <w:r>
        <w:t>A stochastic, geospatially disaggregated blended‑finance allocation model that integrates hybrid FX hedging and MRV‑linked tranche disbursements will produce a statistically significant lower expected public fiscal cost per tonne of CO2e abated and a higher probability of project bankability in Nigeria compared to deterministic allocation models without hybrid FX or MRV linkage.</w:t>
      </w:r>
    </w:p>
    <w:p>
      <w:r>
        <w:t xml:space="preserve"> </w:t>
      </w:r>
    </w:p>
    <w:p>
      <w:pPr>
        <w:pStyle w:val="Heading2"/>
      </w:pPr>
      <w:r>
        <w:t>Related Work</w:t>
      </w:r>
    </w:p>
    <w:p>
      <w:r>
        <w:t>Existing work on mobilizing climate finance for energy access and decarbonization emphasizes instruments such as green bonds, carbon credits, public–private partnerships, and concessional blended finance. Project-level bankability has been addressed using deterministic cost curves, fixed WACC bands, and rule‑based concessionality templates. MRV (measurement, reporting, verification) systems have been developed separately to support carbon finance, and geospatial methods have been used to target energy access investments. Limitations remain: many approaches treat FX and macro risk deterministically or with simple stochastic models, reducing realism; MRV protocols are not tightly integrated with tranche/disbursement design; subnational heterogeneity (logistics, tariffs, local‑content premiums) is often omitted; datasets and parameter provenance are poorly documented and not versioned, limiting reproducibility; and validation/back‑testing against historical Nigerian projects is sparse. These gaps reduce credibility for investors and leave fiscal contingent liabilities under‑quantified.</w:t>
      </w:r>
    </w:p>
    <w:p>
      <w:r>
        <w:t xml:space="preserve"> </w:t>
      </w:r>
    </w:p>
    <w:p>
      <w:pPr>
        <w:pStyle w:val="Heading2"/>
      </w:pPr>
      <w:r>
        <w:t>Abstract</w:t>
      </w:r>
    </w:p>
    <w:p>
      <w:r>
        <w:t>This research builds a reproducible, stochastic modelling framework that quantifies climate finance needs and bankability outcomes for Nigeria’s pursuit of SDG7 (affordable and clean energy), SDG13 (climate action) and net‑zero targets. The core method integrates: (1) geospatially disaggregated CAPEX/OPEX and resource data; (2) a Monte Carlo portfolio model (5,000–10,000 iterations) that uses a hybrid FX model (regime‑switching + stochastic volatility + jump processes); (3) concessionality templates and tranche rules tied to MRV verification; and (4) a canonical parameter pack with provenance and version control. Main contributions are a) a reproducible pipeline that jointly estimates financing gaps, expected fiscal cost of guarantees, and probabilistic bankability metrics (IRR/DSCR distributions), and b) an empirical validation protocol using historical Nigerian projects and MRV ground audits. Expected outcomes include quantified tradeoffs between concessionality, hedging costs, and public fiscal exposure, and investor‑grade project briefs that improve mobilization of private and concessional capital toward SDG7/13 goals.</w:t>
      </w:r>
    </w:p>
    <w:p>
      <w:r>
        <w:t xml:space="preserve"> </w:t>
      </w:r>
    </w:p>
    <w:p>
      <w:pPr>
        <w:pStyle w:val="Heading2"/>
      </w:pPr>
      <w:r>
        <w:t>Experiments</w:t>
      </w:r>
    </w:p>
    <w:p>
      <w:r>
        <w:t>Datasets: IRENA Renewable Cost Database (2010–2024), IEA/BNEF cost and capacity-factor series (2010–2024), World Bank PPI and AfDB project datasheets (project-level: 2010–2023, target N=150–300 projects), REA/NERC Nigerian tariff and project data (2015–2024), CBN/DMO macro time series (NAIRA/USD FX 2000–2024, yields), Nigeria4H2 and Financing Clean Energy in Africa reports, satellite irradiance/wind layers and administrative boundaries. Baselines: (A) deterministic allocation model using mean CAPEX/OPEX and fixed WACC; (B) stochastic model with simple GBM FX or GARCH-only FX; (C) stochastic model without MRV-linked tranche triggers. Proposed model: stochastic integrated model with hybrid FX (regime‑switching + GARCH + jump diffusion), geospatial bankability scores, concessionality templates and MRV‑linked tranche rules. Experimental setup: run Monte Carlo portfolios by project type (utility, storage, mini‑grid, EE/EV) with 5,000 and 10,000 iterations to test stability; use rolling‑origin backtests on historical project cashflows and FX series (holdout years 2018–2023). Cross‑validation: time‑series k‑fold (rolling windows) and out‑of-sample backtest. Ablation studies: (1) remove hybrid FX (compare to GBM/GARCH-only), (2) remove MRV linkage (tranche triggers), (3) remove concessionality layers, (4) vary Monte Carlo iterations (1k, 5k, 10k) for power analysis. Evaluation metrics: financing gap PV error (RMSE, MAE), expected fiscal cost of guarantees (PV), probabilistic bankability metrics (probability IRR &gt;= target, percentile DSCR coverage), calibration metrics for probabilistic forecasts (CRPS = continuous ranked probability score, coverage of 90% PI), distribution‑fit tests (Anderson‑Darling, KS), time‑series diagnostics (ADF for stationarity, Ljung‑Box for autocorrelation), MRV accuracy (MAE tCO2e against ground audits, coverage of emission intervals), and computation time. Success criteria: statistically significant improvement (p&lt;0.05) in expected fiscal cost per tCO2e and bankability probability vs baseline (A) and vs simpler stochastic baselines (B,C).</w:t>
      </w:r>
    </w:p>
    <w:p>
      <w:r>
        <w:t xml:space="preserve"> </w:t>
      </w:r>
    </w:p>
    <w:p>
      <w:pPr>
        <w:pStyle w:val="Heading2"/>
      </w:pPr>
      <w:r>
        <w:t>Risk Factors And Limitations</w:t>
      </w:r>
    </w:p>
    <w:p>
      <w:r>
        <w:t>Data gaps and licensing: historical project fields may be incomplete or restricted; results depend on data quality. Sample bias: past projects may not represent future technologies, local‑content rules, or tariff regimes. Structural breaks: sudden FX devaluations, tariff freezes, or legal changes can invalidate calibrated distributions (regime models may not capture unknown future policies). Model misspecification: hybrid FX and jump models are complex and may overfit limited data; wrong priors bias outputs. MRV measurement error: remote sensing and audits have sampling error, which propagates into crediting and tranche releases. Scalability and compute: Monte Carlo with complex regime models is computationally heavy and may limit real‑time analysis. Generalization: framework tuned for Nigeria may not transfer to other countries without re‑calibration. Political risk: legal enforceability and contingent‑liability booking practices depend on policy decisions outside the model. Evaluation bias: metrics like IRR and DSCR ignore social outcomes unless explicitly gated.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