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intangible_resources_sme_sem</w:t>
      </w:r>
    </w:p>
    <w:p>
      <w:r>
        <w:t xml:space="preserve"> </w:t>
      </w:r>
    </w:p>
    <w:p>
      <w:pPr>
        <w:pStyle w:val="Heading2"/>
      </w:pPr>
      <w:r>
        <w:t>Title</w:t>
      </w:r>
    </w:p>
    <w:p>
      <w:r>
        <w:t>Estimating the causal effect of intangible resources on business performance of Vietnamese SMEs using structural equation modeling and causal inference</w:t>
      </w:r>
    </w:p>
    <w:p>
      <w:r>
        <w:t xml:space="preserve"> </w:t>
      </w:r>
    </w:p>
    <w:p>
      <w:pPr>
        <w:pStyle w:val="Heading2"/>
      </w:pPr>
      <w:r>
        <w:t>Short Hypothesis</w:t>
      </w:r>
    </w:p>
    <w:p>
      <w:r>
        <w:t>Higher firm-level intangible resources (human capital, structural capital, relationship capital, organizational culture, and brand image) cause increased business performance in Vietnamese SMEs, with creative innovation mediating the effect and operating time moderating it.</w:t>
      </w:r>
    </w:p>
    <w:p>
      <w:r>
        <w:t xml:space="preserve"> </w:t>
      </w:r>
    </w:p>
    <w:p>
      <w:pPr>
        <w:pStyle w:val="Heading2"/>
      </w:pPr>
      <w:r>
        <w:t>Related Work</w:t>
      </w:r>
    </w:p>
    <w:p>
      <w:r>
        <w:t>Prior work on intangible resources and SME performance typically uses cross-sectional or simple panel regressions, factor analysis for latent constructs, or case studies. Recent causal approaches adopt difference-in-differences and instrumental-variables to improve identification, but often assume crisp treatments, ignore measurement error in latent constructs, or lack validation for text-derived proxies. Structural equation models (SEM) capture latent dimensions and mediation, yet are rarely combined with modern causal estimators for staggered adoption or dose–response effects. Machine learning and NLP have been used to generate proxies for intangible assets, but prior studies often lack validation subsamples and do not propagate proxy uncertainty into causal estimates. Limitations across the literature include weak instruments, small or nonrandom validation samples, unaddressed MNAR (missing not at random) patterns, limited handling of spillovers, and underpowered MDE reporting under clustered sampling.</w:t>
      </w:r>
    </w:p>
    <w:p>
      <w:r>
        <w:t xml:space="preserve"> </w:t>
      </w:r>
    </w:p>
    <w:p>
      <w:pPr>
        <w:pStyle w:val="Heading2"/>
      </w:pPr>
      <w:r>
        <w:t>Abstract</w:t>
      </w:r>
    </w:p>
    <w:p>
      <w:r>
        <w:t>This study tests how five intangible resource dimensions—human capital, structural capital, relationship capital, organizational culture, and brand image—affect business performance of Vietnamese SMEs. We combine structural equation modeling (SEM) to measure latent intangible constructs with causal-inference estimators for staggered adoption and continuous exposure to identify direct and indirect effects. Creative innovation is tested as a mediator and operating time as a moderator. Measurement-error from survey and NLP-derived proxies is calibrated via a 200–500 firm validation subsample and corrected using SIMEX and regression calibration; joint Bayesian SEM is used as a robustness check. Estimands include cohort ATT, event-time dynamics, and cumulative-dose marginal effects. Deliverables are pre-specified MDE tables, inference routines for small-cluster settings, and reproducible pipelines. Expected outcomes are credible, bias-aware estimates of causal pathways linking intangible resources to productivity and employment, plus practical guidance for SME managers and policymakers on which intangible investments yield measurable performance gains.</w:t>
      </w:r>
    </w:p>
    <w:p>
      <w:r>
        <w:t xml:space="preserve"> </w:t>
      </w:r>
    </w:p>
    <w:p>
      <w:pPr>
        <w:pStyle w:val="Heading2"/>
      </w:pPr>
      <w:r>
        <w:t>Experiments</w:t>
      </w:r>
    </w:p>
    <w:p>
      <w:r>
        <w:t>Datasets: firm-year panel combining administrative financial records, structured survey responses, and unstructured firm documents/web text for Vietnamese SMEs, years 2015–2022, target sample ~5,000 firms; validation subsample n=300 (stratified by sector × size × treatment timing). Outcomes: log value added per worker, log labor productivity (sales per worker if TFP unavailable), log employment; secondary: binary survival/exit. Estimators and baselines: (1) OLS pooled and firm fixed effects (naive baseline); (2) staggered DiD using Callaway &amp; Sant'Anna (C&amp;S) weights; (3) event-study with Sun &amp; Abraham estimators for dynamics; (4) 2SLS IV using candidate instruments (eligibility cutoffs, regional rollout timing, distance to hubs); (5) dose–response DiD for cumulative exposure; (6) two-stage SEM plug-in (CFA latent scores → causal estimator) and joint Bayesian SEM as robustness. Measurement-error correction: SIMEX grid λ = {0,0.5,1,1.5,2} with 5 extrapolation points and regression-calibration; report analytic and bootstrap SEs (clustered by region×sector). Validation tasks: compute reliability (ICC, McDonald's omega), RMSE between NLP/survey proxies and validation scores. Inference: wild-cluster bootstrap for cluster counts &lt;50; permutation tests for small-cluster robustness. Metrics: estimated ATT and event-time coefficients with 95% CIs, first-stage F-statistics, partial R², latent-score reliability, RMSE, bias and RMSE in simulation coverage tables, MDEs for power=0.8 alpha=0.05 across ICC grid {0.005,0.01,0.02,0.05,0.10}. Ablations: (A) with vs without SIMEX correction; (B) with vs without NLP proxies (survey-only); (C) validation subsample size sensitivity: n={200,300,500}; (D) estimator comparison: C&amp;S vs naive FE DiD vs 2SLS. Reporting: present ATT estimates, coverage and MDE tables, and sensitivity scans for MNAR, weak-IV, and interference (neighborhood radii 10/25/50 km).</w:t>
      </w:r>
    </w:p>
    <w:p>
      <w:r>
        <w:t xml:space="preserve"> </w:t>
      </w:r>
    </w:p>
    <w:p>
      <w:pPr>
        <w:pStyle w:val="Heading2"/>
      </w:pPr>
      <w:r>
        <w:t>Risk Factors And Limitations</w:t>
      </w:r>
    </w:p>
    <w:p>
      <w:r>
        <w:t>Measurement error nonrandom: NLP and survey proxies may correlate with firm covariates or treatment timing, causing biased corrections if validation sample is nonrandom. Missing data and MNAR: key variables may be MNAR and invalidate MAR imputation. Weak or invalid instruments: candidate IVs may fail relevance or exclusion and produce unstable LATEs. Small numbers of clusters: few region×sector clusters reduce inference reliability even with wild-cluster bootstrap. Spillovers and interference: SUTVA violations via spatial or supply-chain links can bias ATT estimates. Computational cost: SIMEX+bootstrap and joint Bayesian SEM are compute-intensive and may limit bootstrap draws or MCMC convergence. Generalization: results from Vietnamese SMEs may not transfer to other countries or large firms. Privacy and data access: restricted administrative data may limit external replication. NLP domain shift: text models pretrained elsewhere may underperform on Vietnamese SME language, reducing proxy validity.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