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dfl_ec_lgi_smes_yogyakarta</w:t>
      </w:r>
    </w:p>
    <w:p>
      <w:r>
        <w:t xml:space="preserve"> </w:t>
      </w:r>
    </w:p>
    <w:p>
      <w:pPr>
        <w:pStyle w:val="Heading2"/>
      </w:pPr>
      <w:r>
        <w:t>Title</w:t>
      </w:r>
    </w:p>
    <w:p>
      <w:r>
        <w:t>A mixed-method cluster-randomized evaluation of digital financial literacy, entrepreneurial competencies, and local government initiatives on SME sustainability in Yogyakarta, Indonesia</w:t>
      </w:r>
    </w:p>
    <w:p>
      <w:r>
        <w:t xml:space="preserve"> </w:t>
      </w:r>
    </w:p>
    <w:p>
      <w:pPr>
        <w:pStyle w:val="Heading2"/>
      </w:pPr>
      <w:r>
        <w:t>Short Hypothesis</w:t>
      </w:r>
    </w:p>
    <w:p>
      <w:r>
        <w:t>A combined intervention of digital financial literacy training, entrepreneurial competency development, and targeted local government initiatives causes higher 12-month percent revenue growth for SMEs than business-as-usual.</w:t>
      </w:r>
    </w:p>
    <w:p>
      <w:r>
        <w:t xml:space="preserve"> </w:t>
      </w:r>
    </w:p>
    <w:p>
      <w:pPr>
        <w:pStyle w:val="Heading2"/>
      </w:pPr>
      <w:r>
        <w:t>Related Work</w:t>
      </w:r>
    </w:p>
    <w:p>
      <w:r>
        <w:t>Existing work shows that financial literacy and digital skills can improve small firm outcomes and that entrepreneurial training affects firm practices; many studies use observational designs, single-component trainings, or small pilots. Randomized trials in similar domains demonstrate causal impact but often focus on either finance literacy or entrepreneurship alone, not their joint effect plus government facilitation. Prior evaluations commonly rely on self-reported revenue, which creates measurement error, and use few psychometrically validated composite scores for digital financial literacy (DFL). Cluster randomized designs and encouragement (instrumental variable) strategies have been used, but published studies frequently lack pre-registered analysis plans specifying ANCOVA estimators, robust clustering inference, or explicit plans for low cluster counts, weak first-stage uptake, or spillovers. Gaps remain in integrated multi-component causal evidence, validated DFL measurement, triangulated revenue validation, and practical guidance for local government engagement in a digital economy.</w:t>
      </w:r>
    </w:p>
    <w:p>
      <w:r>
        <w:t xml:space="preserve"> </w:t>
      </w:r>
    </w:p>
    <w:p>
      <w:pPr>
        <w:pStyle w:val="Heading2"/>
      </w:pPr>
      <w:r>
        <w:t>Abstract</w:t>
      </w:r>
    </w:p>
    <w:p>
      <w:r>
        <w:t>We evaluate whether a combined program of digital financial literacy (DFL), entrepreneurial competency (EC) training, and local government initiatives (LGI) increases the medium-term sustainability of small and medium enterprises (SMEs) in Yogyakarta, Indonesia. Using a mixed-method approach, we pilot standardized DFL psychometrics and performance rubrics, then implement a cluster-randomized trial at market/ward level with randomized encouragement to induce uptake. The primary outcome is 12-month percent revenue growth; secondary outcomes include a 0–100 DFL composite score and cashflow volatility. The main contribution is a rigorously pre-specified, policy-relevant evaluation package that combines validated measurement, an identifiable causal design (ITT and TOT via IV), and concrete operational rules for revenue validation and attrition handling. Expected impact: clear evidence on whether and how DFL+EC+LGI increases SME revenue and resilience, plus practical measurement and data-governance tools that local governments can adopt for scalable SME support.</w:t>
      </w:r>
    </w:p>
    <w:p>
      <w:r>
        <w:t xml:space="preserve"> </w:t>
      </w:r>
    </w:p>
    <w:p>
      <w:pPr>
        <w:pStyle w:val="Heading2"/>
      </w:pPr>
      <w:r>
        <w:t>Experiments</w:t>
      </w:r>
    </w:p>
    <w:p>
      <w:r>
        <w:t>Design: cluster-randomized trial with clusters = market/ward. Arms: (1) business-as-usual control; (2) DFL training only; (3) EC training only; (4) combined DFL+EC plus LGI facilitation (nudges, onboarding subsidies). Randomized encouragement: within treatment clusters provide onboarding subsidies and SMS reminders to create instrumented uptake. Target sample (definitive): 20 clusters per arm × 15 firms per cluster = 600 firms; contingency: if clusters&lt;15/arm increase firms/cluster or use covariate-adaptive randomization; report adjusted MDEs. Datasets: baseline and 12-month follow-up surveys, fintech and bank logs (consented), local tax/administrative records where available, and a 10% audit sub-sample with book checks. Baselines for comparison: BAU, DFL-only, EC-only, combined. Primary metric: 12-month percent revenue growth ([(rev_post - rev_base)/rev_base]×100) on natural scale; robustness: log(rev+1). Secondary metrics: DFL composite (0–100), cashflow volatility (SD of weekly cashflow), uptake (binary), employment change. Analysis: primary estimator is ANCOVA on log(rev+1) with baseline revenue covariate, cluster fixed effects, cluster-robust standard errors (and randomization inference if clusters&lt;30). ITT is main estimand; TOT estimated by two-stage least squares using assignment as instrument for uptake; report first-stage F. Multiplicity: Romano-Wolf stepdown for secondary outcomes; report BH FDR as sensitivity. Missing data: multiple imputation by chained equations (MICE), IPW and Lee bounds for attrition. Power: present tables across ICCs = 0.01, 0.05, 0.10 and cluster sizes m = 10,15,20; assume attrition 20% and inflate sample by 25%. Ablations: (A) compare combined vs DFL-only and EC-only to isolate component effects; (B) remove LGI from combined arm to test local-government contribution; (C) vary encouragement intensity to assess first-stage strength. Validation: triangulate revenue using hierarchy (bank/fintech logs &gt; tax records &gt; survey), match seasonal windows, winsorize growth at 1st/99th percentiles, and use 10% audit sub-sample results to estimate reporting bias.</w:t>
      </w:r>
    </w:p>
    <w:p>
      <w:r>
        <w:t xml:space="preserve"> </w:t>
      </w:r>
    </w:p>
    <w:p>
      <w:pPr>
        <w:pStyle w:val="Heading2"/>
      </w:pPr>
      <w:r>
        <w:t>Risk Factors And Limitations</w:t>
      </w:r>
    </w:p>
    <w:p>
      <w:r>
        <w:t>Measurement error: self-reported revenue can be noisy, especially when baseline revenue is small, which may destabilize percent growth estimates. (Percent growth instability: large percent changes from small denominators.) Low uptake or weak encouragement makes the IV first-stage weak, reducing ability to estimate TOT (weak instrument problem). Spillovers: firm-to-firm knowledge sharing inside clusters may bias ITT toward zero or create contamination. Attrition: &gt;20–25% loss or differential attrition across arms reduces power and may bias estimates. Few clusters: with small cluster counts (&lt;15 per arm) cluster-robust SEs are unreliable and randomization inference may have low resolution. Psychometrics: DFL composite may have low internal reliability if item count is small; inter-rater variability on performance tasks can reduce score validity. Legal and data access: inability to obtain fintech or tax logs due to consent or policy limits reduces triangulation. Generalizability: results from Yogyakarta may not transfer to regions with different markets or regulatory environments. Resource limits: budgets that fall short of sample targets will increase MDEs and reduce policy relevance.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