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Measurement-error corrected multiple linear regression analysis of firm-level determinants of export growth in Santander, Colombia (2010–2020)</w:t>
      </w:r>
    </w:p>
    <w:p>
      <w:r>
        <w:t xml:space="preserve"> </w:t>
      </w:r>
    </w:p>
    <w:p>
      <w:pPr>
        <w:pStyle w:val="Heading2"/>
      </w:pPr>
      <w:r>
        <w:t>Short Hypothesis</w:t>
      </w:r>
    </w:p>
    <w:p>
      <w:r>
        <w:t>Reductions in non-tariff measure (NTM) stringency and improvements in firm-level logistics performance cause higher year-over-year export revenue growth for Santander exporters, conditional on firm size and baseline financial indicators.</w:t>
      </w:r>
    </w:p>
    <w:p>
      <w:r>
        <w:t xml:space="preserve"> </w:t>
      </w:r>
    </w:p>
    <w:p>
      <w:pPr>
        <w:pStyle w:val="Heading2"/>
      </w:pPr>
      <w:r>
        <w:t>Related Work</w:t>
      </w:r>
    </w:p>
    <w:p>
      <w:r>
        <w:t>Prior work uses three main approaches: reduced-form causal methods (difference-in-differences, instrumental variables) to estimate policy impacts; structural trade models (e.g., Melitz-style models) to map moments to parameters like fixed export costs and trade elasticities; and measurement-error methods (SIMEX, Bayesian latent-class) to address misclassified regulatory or NTM data. Gravity estimators such as Poisson pseudo-maximum likelihood (PPML) are common for bilateral flows (PPML is a regression method robust to zero flows). Limitations remain: weak or single instruments that risk bias; incomplete propagation of NTM coding error into final estimates; sparse logistics and shipment-level variables in many datasets; selection bias from incomplete customs/ORBIS coverage; and limited operational guidance linking estimates to entrepreneur-facing interventions. Existing structural calibrations often ignore coder misclassification uncertainty and sample reweighting for missing firms.</w:t>
      </w:r>
    </w:p>
    <w:p>
      <w:r>
        <w:t xml:space="preserve"> </w:t>
      </w:r>
    </w:p>
    <w:p>
      <w:pPr>
        <w:pStyle w:val="Heading2"/>
      </w:pPr>
      <w:r>
        <w:t>Abstract</w:t>
      </w:r>
    </w:p>
    <w:p>
      <w:r>
        <w:t>This study analyzes determinants of firm-level export growth in Santander, Colombia from 2010 to 2020 by combining multiple linear regression with measurement-error correction and instrument-based causal checks. We fuse customs shipment records, firm financials, regional opportunity maps, and logistics indicators to estimate how NTMs, logistics performance, firm size, and financial health affect export revenue growth. Key methods include a primary multiple linear regression with firm and year fixed effects, Monte Carlo propagation of NTM coding error using double-blind coder confusion matrices, measurement-error corrected estimators (e.g., SIMEX and Bayesian latent-class models), and a suite of instruments (PTA ratification dates, logistics shocks, shift-share demand) to test causality. Main contributions are: a transparent protocol for NTM crosswalks and misclassification budgeting; quantified causal effect estimates with uncertainty bands that include coding error and sample selection; and operational parameter estimates for policy and SME pilot design. Expected outcome: testable, uncertainty-aware estimates of the causal channels that drive export growth and clear empirical inputs for targeted interventions.</w:t>
      </w:r>
    </w:p>
    <w:p>
      <w:r>
        <w:t xml:space="preserve"> </w:t>
      </w:r>
    </w:p>
    <w:p>
      <w:pPr>
        <w:pStyle w:val="Heading2"/>
      </w:pPr>
      <w:r>
        <w:t>Experiments</w:t>
      </w:r>
    </w:p>
    <w:p>
      <w:r>
        <w:t>Datasets: (1) customs shipment-level records (2010–2020) with HS codes, origin/destination, shipment date, freight cost, transit time; (2) firm financials (balance sheet, income statement) from ORBIS or national registries for the same firms and years; (3) regional opportunity map indicators and market-level demand indexes; (4) enterprise survey benchmarks for reweighting; (5) logistics events log (port strikes, automation rollouts). Sample: 128 exporting firms matched across datasets; a double-blind coded subsample of at least 200 NTM entries for misclassification estimation. Baselines: (A) OLS multiple linear regression with firm and year fixed effects; (B) PPML gravity-style firm×destination flow estimator (PPML handles zeros and heteroskedasticity); (C) measurement-error corrected regressions using SIMEX; (D) Bayesian hierarchical latent-class model for NTM misclassification; (E) Melitz-style structural calibration using calibrated moments. Primary estimator: fixed-effects multiple linear regression on firm-year export revenue with clustered standard errors at firm level. Instrument sets: (i) PTA ratification dates and tariff phase-down schedules; (ii) shift-share third-country demand shocks (pre-period shares); (iii) exogenous logistics shocks (port strikes, automation). Evaluation metrics: coefficient significance and point estimates with 95% uncertainty bands; root-mean-square error (RMSE) for out-of-sample prediction; coverage of uncertainty bands in Monte Carlo repeats; bias and RMSE in simulation exercises that impose known misclassification/selection rates. Experimental setup: pre-register primary outcomes (export revenue growth, extensive margin), pre-specify fixed-effects and clustering, run 1,000 Monte Carlo draws propagating misclassification matrices into estimators, compare estimates across: (a) no correction vs SIMEX vs Bayesian correction (ablation), (b) unweighted vs entropy-balanced reweighting to enterprise surveys, (c) full instrument set vs restricted instrument subsets. Robustness checks: placebo-in-time permutation tests, overidentification Hansen J tests, weak-IV diagnostics (Kleibergen-Paap), and sensitivity of estimates to assumed FP/FN linkage rates (simulate 5%/10%/20%).</w:t>
      </w:r>
    </w:p>
    <w:p>
      <w:r>
        <w:t xml:space="preserve"> </w:t>
      </w:r>
    </w:p>
    <w:p>
      <w:pPr>
        <w:pStyle w:val="Heading2"/>
      </w:pPr>
      <w:r>
        <w:t>Risk Factors And Limitations</w:t>
      </w:r>
    </w:p>
    <w:p>
      <w:r>
        <w:t>Incomplete or missing identifiers (tax ID, invoice date) will reduce match quality and coverage, producing linkage FP/FN errors that bias estimates. Small sample size (128 firms) limits statistical power and external generalization; cluster-level ICCs may inflate MDEs. Instruments may be weak or violate exclusion restrictions (e.g., PTA ratification correlated with unobserved demand), creating biased IV estimates. NTM coding misclassification may be non-random and correlated with firm type, limiting identifiability even with latent-class models. Customs and logistics variables may be missing or inconsistently recorded across years, causing measurement bias. Structural calibration (Melitz/CGE) requires strong parametric assumptions and may not identify all parameters from available moments. Bayesian MCMC and Monte Carlo propagation increase compute/time demands and may be slow with constrained secure-enclave resources. Results will be specific to Santander and 2010–2020 conditions and may not generalize to other regions or post-2020 shocks.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