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clustered_business_pilot_inference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Robust causal inference and sample-design methods for clustered business pilots using difference-in-differences variance reduction and small-cluster inference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Pre-specifying DiD variance-reduction, small-cluster inference (randomization inference or wild cluster bootstrap), and CACE estimands yields unbiased treatment effect estimates with controlled Type I error and adequate power for clustered business pilots under realistic ICC, compliance, and spillover conditions.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approaches for field experiments in business include individual randomized controlled trials (RCTs), cluster randomized trials (cluster RCTs), difference-in-differences (DiD) for repeated measures, synthetic control for aggregate interventions, and standard cluster-robust standard errors for inference. For small numbers of clusters, practitioners have used wild cluster bootstrap, permutation/randomization inference, or conservative t-distributions. CACE/IV estimators are applied to address noncompliance. For staggered rollouts, two-way fixed effects (TWFE) DiD has been common but can be biased when treatment timing varies across units. Multiplicity control typically uses Bonferroni/Holm or false-discovery-rate procedures, but hierarchical gatekeeping is less often integrated. Limitations: (1) small cluster counts yield invalid standard errors and inflated Type I error for many standard methods; (2) TWFE estimators can produce biased average effects under heterogeneous timing; (3) ICC and within-unit correlation (ρ) uncertainty is rarely propagated into sample-size decisions; (4) noncompliance and interference/spillovers are often unmodeled or handled ad hoc; (5) ROI and managerial Δ choices are frequently disconnected from statistical MDE; (6) reproducibility, legal/privacy constraints, and clear pre-registration of inference choices are inconsistently implemented.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address statistical and practical gaps in designing and analyzing clustered business pilots (e.g., product-segment experiments, DC-level automation trials, subscription offers). The work develops an integrated, audit-grade workflow that unites difference-in-differences (DiD) variance-reduction for repeated measures, explicit cluster design-effect translation into required cluster counts, and validated small-cluster inference procedures (randomization inference and wild cluster bootstrap). We add prespecified CACE (complier average causal effect) estimands for noncompliance, formal spillover tests (buffer zones and network-exposure models), and a Monte Carlo ROI framework that links minimal detectable effect sizes (Δ) to NPV-based go/no-go thresholds. The main contribution is an end-to-end, reproducible protocol: power heatmaps across ICC/ρ ranges, inference method selection rules when cluster counts are low, and integrated multiplicity gatekeeping for primary and key secondary outcomes. Expected outcomes are reliable control of Type I error, transparent sample-size requirements in cluster terms, defensible effect estimates under noncompliance and interference, and decision-ready ROI probabilities for leadership.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(1) Simulated transactional microdata at order-line grain with fields {unique_customer_id, order_id, order_line_id, timestamp, product_id, price, cost_components, channel, geo, fulfillment_dc, delivery_time, return_flag, billing_event, NPS}; (2) Simulated cluster-level DC data with daily cost/order and operational covariates; (3) Anonymized real-world pilot dataset (if available) with same schema. Baselines: (A) two-sample t-test with cluster-robust SEs; (B) TWFE DiD with cluster-robust SEs; (C) stacked/Treated event-study corrected DiD for staggered timing; (D) randomization inference; (E) wild cluster bootstrap; (F) CACE/IV estimator for noncompliance. Evaluation metrics: Type I error rate, statistical power, bias of point estimates, RMSE, 95% CI coverage, MDE realized vs planned, false discovery rate for multiple outcomes, P(NPV&gt;0) and expected value (EV) from ROI sims, computation time. Experimental setup: Monte Carlo simulation grid with ICC ∈ {0.01,0.03,0.05,0.10,0.20}, within-unit correlation ρ ∈ {0.2,0.5,0.8}, cluster counts per arm k ∈ {6,10,20,40,100}, average cluster size m ∈ {20,100,1000}, compliance rate ∈ {0.6,0.8,1.0}, spillover fraction ∈ {0.0,0.05,0.15,0.30}, staggered-treatment schedules with varying adoption times. Run 10,000 replicates per cell. Pre-registration: seed-controlled code notebooks and synthetic test CSV (≥1,000 rows) provided. Comparisons/ablations: (1) DiD vs no-DiD to quantify variance reduction gains; (2) randomization inference vs wild cluster bootstrap vs cluster-robust SEs for k&lt;40 to compare Type I error and coverage; (3) ITT vs CACE estimation under varying compliance; (4) multiplicity strategies: Holm, BH, and hierarchical gatekeeping; (5) staggered-DiD corrected estimator vs TWFE to measure bias under heterogeneous timing. Report: power heatmaps, ICC/ρ sensitivity tables, inference-method selection rules, and ROI probability tables tying Δ values to P(NPV&gt;0).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Technical failure modes: (1) very few clusters (k&lt;6) may make any statistical inference unreliable even with permutation methods; (2) heavy spillovers or network interference may bias average effects if exposure models are misspecified. Data/evaluation biases: measurement error in cost components or churn labels will bias estimates; nonrandom missingness (&gt;20%) can invalidate MAR imputation assumptions. Scalability/compute: large Monte Carlo grids and 10000 replicates per cell are compute-intensive and may require distributed execution. Limits to generalization: results calibrated on transactional retail-like data may not transfer to services or regulated industries with different dynamics. Privacy/security constraints: access to detailed order-level data may be restricted, limiting use of individual-level estimators. ROI modeling risks: expert-elicited priors for adoption, cannibalization, and discount rates may be subjective and materially affect P(NPV&gt;0). Small-cluster inference limits: randomization inference controls Type I error but reduces power and may not yield precise CI estimates. Reproducibility limits: legal or proprietary restrictions may prevent public release of real datasets; experiments depend on accurate mapping from managerial Δ to business NPV which can be uncertain.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