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financial_literacy_cor_mediation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PLS-SEM analysis of psychological mediators linking financial literacy to university students' financial wellbeing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financial literacy causes greater financial wellbeing at six months post-intervention, and this effect is mediated by increased self-control, improved mental budgeting, and strengthened mental accounting.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research links financial literacy to better financial outcomes and identifies psychological mechanisms such as financial self-efficacy, budgeting adherence, and self-control. Many studies are cross-sectional or small-scale, limiting causal claims about mediation. Existing mediation work often uses simple regression steps or single-method measurement and rarely models mixed indicator outcomes (subjective scales plus objective behaviors) in a unified latent construct. Power and design-effect adjustments for clustered samples and mediation tests are uncommon. Transaction-linkage studies face selection bias but typically lack robust inverse-probability or selection-model corrections. Studies also rarely pre-specify sensitivity analyses for unmeasured mediator–outcome confounding or model spillovers in student social networks. These gaps reduce confidence in causal mediation, measurement precision, and generalizability.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psychological mechanisms explain how financial literacy improves students' financial wellbeing. We integrate financial literacy training with Conservation of Resources theory and evaluate mediation by self-control, mental budgeting, and mental accounting using survey data from university students. We derive a single latent wellbeing endpoint at six months that combines subjective scales and objective behavior using a hybrid CFA–IRT measurement model (CFA = confirmatory factor analysis; IRT = item response theory). We estimate causal paths with partial least squares structural equation modeling (PLS-SEM) and complement with multilevel Monte Carlo simulations to assess power under clustering (ICC = intraclass correlation coefficient). Main contributions are: (1) preregistered causal mediation tests with sensitivity analyses for unmeasured confounding, (2) a hybrid measurement of financial wellbeing that integrates mixed indicators, and (3) transparent power and selection-adjustment procedures for optional transaction linkage. Expected outcomes are clear estimates of direct and indirect effects and practical guidance on the role of psychological resources in boosting student financial wellbeing.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survey of N=781 Indonesian university students (baseline, immediate post, 3-month, 6-month), optional transaction-linked subset (expected consent scenarios: 50%, 40%, 30%), and simulated datasets for Monte Carlo power analyses. Baselines: (A) direct-effect model (financial literacy → wellbeing), (B) mediation PLS-SEM (financial literacy → mediators → latent wellbeing), (C) covariance-based SEM (CB-SEM) with the same structure, (D) multilevel Bayesian SEM when clustering is present. Measurement models: hybrid CFA–IRT for latent wellbeing (continuous subjective indicators via CFA; dichotomous/objective indicators via IRT). Evaluation metrics: standardized average treatment effect (ATE) on latent wellbeing, standardized indirect effects (a*b) with 95% bootstrap CIs, p-values, model fit indices (CFI, RMSEA, SRMR for CFA; SRMR and Q2 for PLS-SEM), proportion mediated, Monte Carlo power curves, and sensitivity metrics (VanderWeele mediation bounds, Imai sensitivity, E-values). Missing-data diagnostics: fraction missing, convergence of imputations, and tipping-point grids. Experimental setup: estimate main models on observed data with ITT principle (intention-to-treat); run mediator ablations removing one mediator at a time; compare models with and without transaction-derived objective indicators; bootstrap indirect effects with 5,000 draws; run Monte Carlo multilevel SEM simulations with 5,000–10,000 replications across ICCs 0.01–0.10, cluster sizes m ∈ {10,20,30}, and attrition rates {10%,20%,30%}. Bayesian robustness: run stan/brms multilevel SEM with 4,000 iterations, 1,000 warmup, and report R̂ and effective sample sizes. Pre-specified comparisons: PLS-SEM vs CB-SEM, models with vs without transaction linkage, full mediation vs single-mediator ablations.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Self-report bias: mediators and some outcomes rely on self-reports and may be biased. Low transaction-link consent: linked data under 40% will reduce objective-behavior analyses and may induce selection bias. Unmeasured confounding: mediation identification relies on sequential ignorability (no unmeasured mediator–outcome confounders); violation will bias indirect estimates. Missing data and MNAR (missing not at random): attrition or selective nonresponse may invalidate MAR-based methods. Measurement noninvariance: latent constructs may differ across language, sex, or SES groups, limiting comparability. Spillover/interference: peer effects in campuses may violate SUTVA and bias ATEs if not modeled. Power limits under clustering: high ICC or small cluster counts inflate required N and may reduce power. Generalizability: sample from Indonesian universities may not generalize to other countries or age groups. Computational limits: Monte Carlo and Bayesian multilevel SEM are compute-intensive and may be slow for large simulation grids.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