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saudi_stock_macro_vecm</w:t>
      </w:r>
    </w:p>
    <w:p>
      <w:r>
        <w:t xml:space="preserve"> </w:t>
      </w:r>
    </w:p>
    <w:p>
      <w:pPr>
        <w:pStyle w:val="Heading2"/>
      </w:pPr>
      <w:r>
        <w:t>Title</w:t>
      </w:r>
    </w:p>
    <w:p>
      <w:r>
        <w:t>Identifying macroeconomic determinants of Saudi stock market performance using Johansen cointegration and vector error correction modeling</w:t>
      </w:r>
    </w:p>
    <w:p>
      <w:r>
        <w:t xml:space="preserve"> </w:t>
      </w:r>
    </w:p>
    <w:p>
      <w:pPr>
        <w:pStyle w:val="Heading2"/>
      </w:pPr>
      <w:r>
        <w:t>Short Hypothesis</w:t>
      </w:r>
    </w:p>
    <w:p>
      <w:r>
        <w:t>A stable cointegrating relationship links Saudi stock market performance to real GDP, inflation, FDI, trade balance, government expenditure, and oil revenues so that positive shocks to GDP and oil revenues raise returns while positive shocks to inflation and US monetary surprises lower returns, and these effects appear in both VECM long‑run coefficients and short‑run error‑correction dynamics.</w:t>
      </w:r>
    </w:p>
    <w:p>
      <w:r>
        <w:t xml:space="preserve"> </w:t>
      </w:r>
    </w:p>
    <w:p>
      <w:pPr>
        <w:pStyle w:val="Heading2"/>
      </w:pPr>
      <w:r>
        <w:t>Related Work</w:t>
      </w:r>
    </w:p>
    <w:p>
      <w:r>
        <w:t>Existing research uses vector autoregressions (VAR), vector error correction models (VECM), structural VARs (SVAR), and narrative instrumental variables to study how macro variables affect stock markets. Mixed-frequency methods (MF-VAR, MIDAS) are used to combine monthly asset data with quarterly GDP. Prior work shows macro variables matter but faces recurring limitations: instrument endogeneity (policy reactions biasing OPEC quota instruments), weak instruments after orthogonalization, misdating or mismeasurement of oil shocks, instability from structural breaks or regime shifts, small sample and finite-sample bias in IV/SVAR inference, and inconsistent handling of mixed frequencies and data vintages. Many studies report IRFs (impulse responses) without full pre-registration of instrument construction, residualization rules, or robustness to alternative frequency methods, leaving open uncertainty about causal interpretation and finite-sample reliability.</w:t>
      </w:r>
    </w:p>
    <w:p>
      <w:r>
        <w:t xml:space="preserve"> </w:t>
      </w:r>
    </w:p>
    <w:p>
      <w:pPr>
        <w:pStyle w:val="Heading2"/>
      </w:pPr>
      <w:r>
        <w:t>Abstract</w:t>
      </w:r>
    </w:p>
    <w:p>
      <w:r>
        <w:t>This study examines how major macroeconomic variables drive Saudi stock market performance by combining Johansen cointegration testing and vector error correction models (VECM) with external narrative instruments and mixed-frequency estimation. Johansen cointegration is used to detect long-run links between market levels and macro variables; VECM captures short-run adjustments toward those long-run relations. Exogenous instruments for oil and monetary shocks are constructed from IEA/OPEC outage reports, tanker incident coding, OPEC quota surprises, geopolitical news shocks, and high-frequency US monetary surprises to address endogeneity. We compare mixed-frequency VAR (MF-VAR) and MIDAS approaches, and run Monte Carlo simulations to evaluate finite-sample bias, instrument strength, and IRF coverage. The main contribution is a pre-registered, reproducible pipeline that quantifies long- and short-run macro effects on Saudi equity returns with robust inference rules and sensitivity checks for instrument validity, residualization, and structural breaks. Expected outcomes are well-identified impulse responses and policy-relevant magnitudes that inform monetary and fiscal policy under economic diversification goals.</w:t>
      </w:r>
    </w:p>
    <w:p>
      <w:r>
        <w:t xml:space="preserve"> </w:t>
      </w:r>
    </w:p>
    <w:p>
      <w:pPr>
        <w:pStyle w:val="Heading2"/>
      </w:pPr>
      <w:r>
        <w:t>Experiments</w:t>
      </w:r>
    </w:p>
    <w:p>
      <w:r>
        <w:t>Datasets: monthly Tadawul All Share Index (TASI) returns and sector indices from Tadawul/Bloomberg; monthly CPI, repo/policy rate, M2, bank credit, exchange rate, Brent and Arab Light prices, Ministry of Finance monthly oil-revenue receipts, monthly FDI and trade balance series; quarterly real GDP from Saudi General Authority for Statistics and IMF vintages. Sample: longest available multi-decade span with vintage mapping. Baselines: (A) unrestricted VECM estimated on quarterly-converted data; (B) SVAR with sign restrictions; (C) MF-VAR (mixed-frequency VAR) preserving monthly returns and quarterly GDP; (D) MIDAS regressions for monthly-return forecasting; (E) IV-SVAR using narrative external instruments. Identification: Johansen cointegration test for rank (test for long-run relations), BIC for lag selection (AIC secondary), deterministic terms by AIC. Instruments: IEA/OPEC outages, OPEC quota surprises, tanker/Strait incident dummies, GPR-filtered shocks, high-frequency US monetary surprises. Pre-registered diagnostics: first-stage F, Kleibergen–Paap rk F, Sanderson–Windmeijer conditional F for multiple endogenouss, Hansen J p-value. Monte Carlo: 1,000 replications, DGP grid with sample lengths 120/240/360 months, oil shocks 1/3/5 mbpd, AR(1) persistence 0/0.3/0.6, measurement noise 0/0.05/0.2. Evaluation metrics: IRF bias and RMSE up to 24 months, 90% CI coverage, first-stage statistics, Hansen J, out-of-sample MSE, power to detect shocks, computational time. Statistical inference: Anderson-Rubin and CLR confidence intervals, LIML for weak-IVs, wild cluster bootstrap (cluster unit pre-registered; report year and quarter alternatives). Ablations and robustness: (1) remove external instruments to compare IV vs non-IV identification, (2) replace MF-VAR with MIDAS, (3) apply residualization protocol vs no residualization, (4) vary event windows (±0, ±1, ±3 trading days and multi-day clusters), (5) split sample pre/post Vision 2030 and test Bai-Perron detected breaks, (6) test TVP-VAR (time-varying parameters) vs constant-parameter models. Reporting: report median IRFs with 50% and 90% bands, first-stage tables, overidentification tests, and a checklist linking each deliverable to its preregistered decision rule.</w:t>
      </w:r>
    </w:p>
    <w:p>
      <w:r>
        <w:t xml:space="preserve"> </w:t>
      </w:r>
    </w:p>
    <w:p>
      <w:pPr>
        <w:pStyle w:val="Heading2"/>
      </w:pPr>
      <w:r>
        <w:t>Risk Factors And Limitations</w:t>
      </w:r>
    </w:p>
    <w:p>
      <w:r>
        <w:t>Instrument endogeneity: OPEC quota announcements may be policy responses to market conditions; narrative IVs risk violating exclusion restrictions. Weak instruments: residualization and co-occurrence handling can reduce first-stage strength and bias estimates. Event measurement and dating: conflicting mbpd estimates, choice of days-per-month, and Brent fix timing introduce scaling and timing uncertainty. Mixed-frequency complexity: MF-VAR is computationally intensive and may suffer identification issues in small samples. Structural breaks and regime shifts: Bai-Perron breaks or regime changes (e.g., Vision 2030, MSCI inclusion, COVID) can invalidate cointegration or sign restrictions. Data limitations: limited vintage access or proprietary flow data may prevent public replication. Finite-sample inference: nonlinear estimators and weak-IV robust CIs may require many simulations for stability, increasing compute cost. External validity: results may not generalize beyond Saudi institutional and oil-dependent context. Model specification risk: omitted variables, multicollinearity among global financial controls, and nonlinearity in responses can alter estimated magnitudes.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