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dea_super_learner_proj_perf</w:t>
      </w:r>
    </w:p>
    <w:p>
      <w:r>
        <w:t xml:space="preserve"> </w:t>
      </w:r>
    </w:p>
    <w:p>
      <w:pPr>
        <w:pStyle w:val="Heading2"/>
      </w:pPr>
      <w:r>
        <w:t>Title</w:t>
      </w:r>
    </w:p>
    <w:p>
      <w:r>
        <w:t>An explainable super learner that integrates DEA-measured frontier efficiency and financial ratios to predict project financial performance in emerging markets</w:t>
      </w:r>
    </w:p>
    <w:p>
      <w:r>
        <w:t xml:space="preserve"> </w:t>
      </w:r>
    </w:p>
    <w:p>
      <w:pPr>
        <w:pStyle w:val="Heading2"/>
      </w:pPr>
      <w:r>
        <w:t>Short Hypothesis</w:t>
      </w:r>
    </w:p>
    <w:p>
      <w:r>
        <w:t>Augmenting a super learner ensemble (random forest and CatBoost base learners with a linear regression meta-learner) with DEA-derived operational efficiency scores and their propagated uncertainty will reduce out-of-sample RMSE for project financial performance predictions by at least 5% relative to the same ensemble trained without DEA-derived features.</w:t>
      </w:r>
    </w:p>
    <w:p>
      <w:r>
        <w:t xml:space="preserve"> </w:t>
      </w:r>
    </w:p>
    <w:p>
      <w:pPr>
        <w:pStyle w:val="Heading2"/>
      </w:pPr>
      <w:r>
        <w:t>Related Work</w:t>
      </w:r>
    </w:p>
    <w:p>
      <w:r>
        <w:t>Prior work divides into three relevant areas. First, frontier efficiency measurement (Data Envelopment Analysis, DEA, and Stochastic Frontier Analysis, SFA) provides nonparametric or parametric estimates of relative operational efficiency; these methods are widely used for benchmarking but are unstable when sample size is small and do not directly provide prediction-focused inputs. Second, ensemble learning and stacking (super learner) combine diverse base models to improve predictive accuracy; many applied reports use tree ensembles (random forest, gradient boosting) and linear or regularized meta-learners, but few integrate structured domain measurements like DEA as features or account for measurement uncertainty. Third, uncertainty propagation and explainability work apply bootstrap, Bayesian measurement-error models, and SHAP-value attributions to quantify input noise and explain model outputs. Limitations seen across these streams include DEA instability with few decision-making units, high compute cost of full bootstrap×retrain pipelines, underestimation of variance by variational Bayes, leakage risks when feature engineering crosses temporal splits, and sparse evaluation of explanation fidelity (how much attributions reflect true model behavior). Existing approaches lack a joined, reproducible pipeline that (a) injects frontier uncertainty into a stacked learner, (b) enforces time-aware leakage controls, and (c) evaluates both predictive gains and explanation stability in an emerging-market project setting.</w:t>
      </w:r>
    </w:p>
    <w:p>
      <w:r>
        <w:t xml:space="preserve"> </w:t>
      </w:r>
    </w:p>
    <w:p>
      <w:pPr>
        <w:pStyle w:val="Heading2"/>
      </w:pPr>
      <w:r>
        <w:t>Abstract</w:t>
      </w:r>
    </w:p>
    <w:p>
      <w:r>
        <w:t>We address prediction of project financial performance in emerging markets by integrating operational frontier efficiency into an explainable machine learning pipeline. We compute per-project efficiency using Data Envelopment Analysis (DEA) and propagate DEA uncertainty into a super learner ensemble composed of random forest and CatBoost base learners with a linear regression meta-learner. The pipeline includes time-aware nested cross-validation, DEA bootstrap draws entered as augmented training inputs, and a Bayesian measurement-error backup for small cohorts. Explainability uses SHAP and fidelity/stability tests to link DEA features to model decisions. The main contribution is a reproducible, uncertainty-aware workflow that converts frontier benchmarking into predictive, interpretable inputs and measures the value of frontier information against strong baselines. We expect the approach to produce measurable RMSE gains, calibrated predictive intervals, and stable, actionable feature attributions, enabling domain teams to map predicted improvements to operational levers and estimated ROI in emerging-market project portfolios.</w:t>
      </w:r>
    </w:p>
    <w:p>
      <w:r>
        <w:t xml:space="preserve"> </w:t>
      </w:r>
    </w:p>
    <w:p>
      <w:pPr>
        <w:pStyle w:val="Heading2"/>
      </w:pPr>
      <w:r>
        <w:t>Experiments</w:t>
      </w:r>
    </w:p>
    <w:p>
      <w:r>
        <w:t>Datasets: (1) Simulated project portfolios with controlled noise models (Gaussian, heavy-tailed, heteroskedastic), missingness patterns, and record-linkage error; (2) Real emerging-market project dataset(s) containing per-project financial ratios, earned-value (EV) metrics, operational inputs/outputs for DEA (e.g., costs, labor hours, physical progress), project start dates, and outcome: final cost or cost overrun; (3) Synthetic reviewer dataset mirroring production schema for reproducibility. Baselines: (A) Super Learner without DEA features, (B) Random Forest single learner, (C) CatBoost single learner, (D) Linear regression on financial ratios, (E) Uniform-weight ensemble, (F) Super Learner with DEA but no uncertainty propagation. Metrics: RMSE and MAE (accuracy), calibration error and predictive interval coverage (calibration), CRPS (proper scoring rule for probabilistic forecasts), SHAP-fidelity (Pearson correlation between SHAP sums and actual perturbation-induced prediction change), Kendall tau for feature-rank stability, and coverage of DEA bootstrap intervals. Experimental setup: nested time-aware cross-validation with 5 outer rolling-origin folds (by project start date) and 3 inner time-blocked folds with 2 repeats for hyperparameter tuning; Bayesian optimization 100 trials per base learner (trimmed 20 for quick runs); DEA bootstrap B=1000 for production and B=50 for trimmed runs; paired bootstrap for metric inference B_metric=1000; permutation tests that shuffle DEA-derived features within cohorts; multiple-comparison control via Benjamini-Hochberg FDR. Ablation studies (pre-registered): full model (DEA + uncertainty + Super Learner), no-DEA, no-EV (remove earned-value features), Super Learner without uncertainty propagation (single DEA draw), single best learner (best tuned base), DEA-slacks-only. Power and robustness: Monte Carlo power simulations target detecting a 5% relative RMSE reduction with 80% power under Gaussian, heavy-tailed, nonstationary drift, and varying missingness/linkage error; report Monte Carlo standard errors. Record linkage and imputation handling: deterministic keys then Fellegi–Sunter probabilistic matching with ML re-scoring; accept matches ≥0.90, manual review for 0.70–0.90, encode top-K (K=3) probability-weighted features for low-confidence links and run multiple-imputation chains with downstream propagation. Statistical inference: report paired bootstrap CIs for metric differences, two-sided permutation p-values, and adjusted p-values using BH-FDR. Pre-specified success threshold: Super Learner with DEA and uncertainty propagation must show ≥5% relative RMSE reduction versus best baseline with a 95% bootstrap CI excluding zero.</w:t>
      </w:r>
    </w:p>
    <w:p>
      <w:r>
        <w:t xml:space="preserve"> </w:t>
      </w:r>
    </w:p>
    <w:p>
      <w:pPr>
        <w:pStyle w:val="Heading2"/>
      </w:pPr>
      <w:r>
        <w:t>Risk Factors And Limitations</w:t>
      </w:r>
    </w:p>
    <w:p>
      <w:r>
        <w:t>Technical failure modes: DEA estimates can be unstable when cohort sample size is small relative to the number of inputs/slacks, producing high-variance features that may harm downstream models. Variational Bayes (VB) used for fast Bayesian DEA can understate posterior variance (so uncertainty may be underreported) and require MCMC validation. The full bootstrap×retrain (B×retrain) pipeline is computationally expensive (hundreds to thousands of CPU-hours), limiting iteration speed. Data and evaluation biases: record-linkage errors, nonrandom missingness, and survivorship bias in project records can distort both DEA scores and predictive performance; heavy-tailed or nonstationary errors (concept drift) can invalidate power estimates based on Gaussian noise. Leakage and reproducibility risks: improper foldwise handling of DEA bootstraps or encoders can leak future information, inflating performance. Explainability limits: SHAP and surrogate explanations may not reflect causal effects; high SHAP-fidelity thresholds must be empirically validated. Generalization: models tuned on one emerging market or cohort may not transfer to others due to differing operational processes and unobserved confounders. Causal claims: prediction improvements do not imply intervention effectiveness; rigorous causal designs (IV, DID, synthetic controls) require separate data and assumptions. Human review limits: manual linkage review budgets are finite; sampling choices affect precision/recall and downstream variance. Compute nondeterminism: parallel RNGs, VB initialization, and hardware differences can produce nondeterministic results and must be tracked in provenance.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