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ecommerce_intention_saudi</w:t>
      </w:r>
    </w:p>
    <w:p>
      <w:r>
        <w:t xml:space="preserve"> </w:t>
      </w:r>
    </w:p>
    <w:p>
      <w:pPr>
        <w:pStyle w:val="Heading2"/>
      </w:pPr>
      <w:r>
        <w:t>Title</w:t>
      </w:r>
    </w:p>
    <w:p>
      <w:r>
        <w:t>Structural equation modeling and survey experiments of individual and social determinants of intention to use e-commerce in Saudi Arabia</w:t>
      </w:r>
    </w:p>
    <w:p>
      <w:r>
        <w:t xml:space="preserve"> </w:t>
      </w:r>
    </w:p>
    <w:p>
      <w:pPr>
        <w:pStyle w:val="Heading2"/>
      </w:pPr>
      <w:r>
        <w:t>Short Hypothesis</w:t>
      </w:r>
    </w:p>
    <w:p>
      <w:r>
        <w:t>An increase in platform trust causes an increase in individuals' intention to use e-commerce among residents of Saudi Arabia.</w:t>
      </w:r>
    </w:p>
    <w:p>
      <w:r>
        <w:t xml:space="preserve"> </w:t>
      </w:r>
    </w:p>
    <w:p>
      <w:pPr>
        <w:pStyle w:val="Heading2"/>
      </w:pPr>
      <w:r>
        <w:t>Related Work</w:t>
      </w:r>
    </w:p>
    <w:p>
      <w:r>
        <w:t>Prior studies commonly apply behavioral adoption frameworks (e.g., UTAUT2) and structural equation modeling (SEM) to link constructs such as attitude, subjective norms, self-efficacy, trust, and perceived risk to e-commerce intention. Other research separates trust into merchant, platform, and payment dimensions, and some work uses vignette or experimental manipulations. Typical strengths are theory-driven latent-variable modeling and use of validated scales. Common limitations are small or convenience samples, limited attention to measurement invariance across languages and groups, few embedded randomized manipulations for causal identification, inconsistent handling of missing not at random (MNAR) data, and scarce linkage to real transaction logs. Existing SEM analyses often treat trust as a single factor or use cross-sectional correlations that limit causal claims. There is also limited pre-registration and transparency in prior work, and weak specification of subgroup power for gender, region, and SME-size contrasts.</w:t>
      </w:r>
    </w:p>
    <w:p>
      <w:r>
        <w:t xml:space="preserve"> </w:t>
      </w:r>
    </w:p>
    <w:p>
      <w:pPr>
        <w:pStyle w:val="Heading2"/>
      </w:pPr>
      <w:r>
        <w:t>Abstract</w:t>
      </w:r>
    </w:p>
    <w:p>
      <w:r>
        <w:t>This study examines which individual and social factors drive the intention to use e-commerce among residents of Saudi Arabia using a mixed quantitative approach. We collect a bilingual survey with embedded randomized vignette experiments and apply structural equation modeling (SEM) to estimate latent relationships between performance expectancy, attitude, subjective norms, self-efficacy, differentiated trust (platform, payment, merchant), perceived risk, religiosity, and family decision influence. The main contribution is a pre-registered, reproducible analysis that combines confirmatory measurement modeling, causal evidence from randomized manipulations (trust-badges, return-policy, halal-cert disclosure), and sensitivity checks (MNAR scenarios and Bayesian priors). Expected outcomes include well-powered estimates of direct and mediated paths, clear tests of differentiated trust constructs, and subgroup comparisons by gender, region, and SME status. Results will provide transparent, policy-relevant evidence on which trust and social factors most influence e-commerce adoption in the Saudi context.</w:t>
      </w:r>
    </w:p>
    <w:p>
      <w:r>
        <w:t xml:space="preserve"> </w:t>
      </w:r>
    </w:p>
    <w:p>
      <w:pPr>
        <w:pStyle w:val="Heading2"/>
      </w:pPr>
      <w:r>
        <w:t>Experiments</w:t>
      </w:r>
    </w:p>
    <w:p>
      <w:r>
        <w:t>Datasets: primary consumer survey n=1200 (stratified by gender, region, urban/rural), SME survey n=500 (stratified by sector and firm-size), pilot cognitive interviews n≈200 consumers and n≈75 SMEs, experiment pretest n≈150 combined. Optional aggregated transaction linkage (consent-based) with minimum variables: order_count, average_order_value, return_rate, payment_method_flag, last_purchase_date. Baselines: (A) SEM with standard UTAUT2 constructs and composite trust; (B) SEM replacing composite trust with three separate latent factors (platform, payment, merchant); (C) same as B but without experimental manipulations. Experimental arms: A1 trust-badge (national certified vs neutral vs none), A2 return-policy (30-day full returns vs 7-day standard), A3 halal-cert disclosure (clear issuer info vs ambiguous). Randomization: block-randomized by strata. Evaluation metrics: CFA fit indices (CFI, TLI, RMSEA, SRMR), reliability (McDonald's omega), AVE, HTMT for discriminant validity; SEM outcomes: standardized path coefficients (β), bootstrapped indirect effect CIs (2,000 resamples), p-values, effect sizes (standardized β); experiment outcomes: change in post-manipulation trust (mean difference, Cohen's d), binary consequential choice accuracy/AUC, willingness-to-pay mean difference. Estimators and missing-data: primary SEM estimation via FIML (full information maximum likelihood); MLR robust SEs for continuous indicators; WLSMV if indicators treated as ordinal. Sensitivity and robustness studies: Monte Carlo power simulations (1,000–2,000 reps) to set N, MNAR sensitivity via selection-model variants and pattern-mixture/tipping-point bounds, Bayesian SEM with pre-specified priors and prior-sensitivity checks. Ablation studies: (1) compare platform-only mediator vs three-factor trust mediator for primary indirect effect; (2) remove experimental manipulations to test causal increment; (3) test models with and without family-influence moderator. Reporting: pre-registered ITT (intent-to-treat) estimates and per-protocol after manipulation-check exclusions; weight-adjusted estimates with replicate-variance (bootstrap) inference.</w:t>
      </w:r>
    </w:p>
    <w:p>
      <w:r>
        <w:t xml:space="preserve"> </w:t>
      </w:r>
    </w:p>
    <w:p>
      <w:pPr>
        <w:pStyle w:val="Heading2"/>
      </w:pPr>
      <w:r>
        <w:t>Risk Factors And Limitations</w:t>
      </w:r>
    </w:p>
    <w:p>
      <w:r>
        <w:t>Sampling bias: online panels and CATI may under-represent remote or low-connectivity populations, limiting generalizability. Measurement invariance: translated items may fail scalar invariance across Arabic/English or gender groups, preventing direct mean comparisons. Causal limits: survey experiments are vignette-based and may not fully replicate market behavior; incentives may not eliminate hypothetical bias. Missing data: MNAR patterns (nonresponse related to unobserved variables) can bias estimates; sensitivity models may not cover all selection mechanisms. Data linkage: PDPL privacy rules or partner refusal may prevent transaction-log linkage, limiting behavioral validation. Common-method variance: self-report measures can inflate associations; latent-method factor or temporal separation may not fully remove bias. Statistical power: subgroup and interaction (moderated-mediation) detection needs large N; planned N may still have limited power for small interactions. External validity: findings are context-specific to Saudi Arabia and may not generalize to other countries or cultural settings. Computational/estimation limits: complex multilevel Bayesian SEM can be slow and require careful convergence checks; failure to converge may force simpler estimators.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