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digital_transformation_supplychain_jordan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cohort-weighted causal mediation effects of digital transformation on supply chain competitiveness in Jordanian manufacturing using longitudinal SEM, IV-GMM, and staggered DiD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Adoption of digital transformation by Jordanian manufacturing firms causally increases supply chain competitiveness and this effect is mediated through improvements in firm-level dynamic capabilities (sensing, seizing, reconfiguring).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links digital transformation and supply chain performance and emphasizes dynamic capabilities (abilities to sense change, seize opportunities, and reconfigure resources). Existing quantitative studies commonly use cross-sectional surveys or simple panel regressions, which leave three problems unresolved: (1) endogeneity (treatment linked to unobserved firm shocks) that biases causal claims; (2) mediator–outcome confounding and time-varying confounders that undermine mediation identification (confounders are variables that affect both the mediator and outcome); and (3) measurement error in perceptual scales and sparse telemetry that attenuates mediated-effect estimates. Methodological advances (IVs, staggered DiD, dynamic panels, and causal mediation sensitivity analyses) exist but are often not combined with telemetry-based validation or small-N short-T Monte Carlo assessment. Practical gaps include weak or invalid instruments, biases in two-way-fixed-effects estimators under staggered adoption, limited tests for intermediate confounding, and scarce guidance on integrating measurement-error corrections into DiD/IV/GMM frameworks.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estimates how digital transformation (DT) drives supply chain competitiveness (SCC) in Jordanian manufacturing by measuring the mediated pathway through firm dynamic capabilities (DC). We adopt a single primary estimand: the cohort-weighted average causal mediation effect (ACME) under staggered DT adoption. Our approach combines a pre-registered estimator hierarchy—staggered DiD (cohort ATT) when parallel trends hold, IV-GMM when valid instruments exist, system GMM for dynamic panels, and longitudinal SEM with explicit measurement-error modeling as fallback—with telemetry-validated survey measures and Monte Carlo power analysis. The main contribution is an integrated, testable identification and measurement protocol that publishes DAGs, pre-specified diagnostics and abandonment rules, and sensitivity analyses for mediator–outcome confounding and time-varying confounders. Expected outcomes include unbiased cohort-weighted ACME estimates with transparent diagnostic reporting, concrete minimum-detectable indirect-effect rules for scale-up, and reproducible pipelines that align telemetry and perceptual measures for mediation inference in emerging-economy manufacturing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Pilot telemetry+survey: 8–12 firms, two countries, firm-period telemetry (IoT counts, API transactions, cloud billing), matched manager surveys capturing DT and DC scales, and administrative firm covariates. (2) Main panel: target N=200–500 manufacturing firms in Jordan with T=4–8 firm-periods (6/12/18/24-month lags pre-specified). (3) Validation subsample: ~10–20% of firms with detailed logs and repeated measures for measurement-error estimation. Baselines: naive OLS mediation (no controls), TWFE DiD (two-way fixed effects), cross-lagged panel models, longitudinal SEM without measurement-error correction. Primary estimators: Callaway–Sant’Anna staggered DiD, IV-GMM (two-stage control-function and IV-SEM), system GMM, and Bayesian measurement-error longitudinal SEM. Evaluation metrics: estimated cohort-weighted ACME (point estimate), bias (via simulation), RMSE, 95% CI coverage, power to detect indirect effect, first-stage F-statistic for instruments, pre-trend p-values, CFA fit indices (RMSEA, CFI), and measurement-error variance. Experimental setup: pre-register estimand, estimator hierarchy, diagnostics and abandonment thresholds; run Monte Carlo grid across N={30,50,100}, T={4,6,8}, first-stage partial R2={0.01,0.05,0.10}, and measurement-error fractions 10%–50%; report bias, RMSE, coverage, and power. Validation/comparison studies: (A) Ablation A: remove telemetry and use perceptual-only mediators to quantify measurement utility loss. (B) Ablation B: apply SIMEX (simulation extrapolation) and a validation-subsample IV for mediator measurement error to compare with Bayesian joint measurement-error model. (C) Robustness: compare Callaway–Sant’Anna vs Sun–Abraham vs Goodman–Bacon decomposition and report estimator divergences with diagnostics. Scale-up rule: proceed to main panel only if pilot linkage rate ≥80%, CFA RMSEA&lt;0.08, factor loadings&gt;0.5, and pilot first-stage F≥10.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weak or invalid instruments (low first-stage F) that prevent causal IV identification; measurement error in mediators that attenuates indirect-effect estimates if validation subsample is too small. Data and evaluation biases: nonrandom pilot participation and attrition causing selection bias; time-varying confounders not fully adjusted by chosen g-method producing biased mediation estimates. Scalability and compute limits: Bayesian joint measurement-error SEM and system GMM on large panels can be computationally intensive and slow. Limits to generalization: results derived in Jordanian manufacturing may not generalize to other countries, sectors, or firm sizes. Interference and spillovers: firms may affect nearby firms (spillover), violating no-interference assumptions and biasing cohort ACME. Privacy and legal constraints: telemetry access restrictions or rejection of synthetic data by partners could reduce data richness; differential privacy (DP) noise may degrade utility for mediation estimates. Small-sample problems: pilot or small-N panels may lack power to detect small indirect effects despite corrections. Sequential ignorability limitation: mediator–outcome confounding (unobserved variables affecting both mediator and outcome) may remain partially untestable and require sensitivity analyses; these analyses can bound but not eliminate residual uncertainty.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