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posci_innovation_westjava</w:t>
      </w:r>
    </w:p>
    <w:p>
      <w:r>
        <w:t xml:space="preserve"> </w:t>
      </w:r>
    </w:p>
    <w:p>
      <w:pPr>
        <w:pStyle w:val="Heading2"/>
      </w:pPr>
      <w:r>
        <w:t>Title</w:t>
      </w:r>
    </w:p>
    <w:p>
      <w:r>
        <w:t>An empirical structural equation modeling study of how project-oriented supply chain integration and innovation strategies affect competitive advantage among SMEs in West Java</w:t>
      </w:r>
    </w:p>
    <w:p>
      <w:r>
        <w:t xml:space="preserve"> </w:t>
      </w:r>
    </w:p>
    <w:p>
      <w:pPr>
        <w:pStyle w:val="Heading2"/>
      </w:pPr>
      <w:r>
        <w:t>Short Hypothesis</w:t>
      </w:r>
    </w:p>
    <w:p>
      <w:r>
        <w:t>Higher project-oriented supply chain integration (POSCI) increases SME innovation capability, which increases competitive advantage, and this POSCI → competitive advantage effect is mediated by operational performance.</w:t>
      </w:r>
    </w:p>
    <w:p>
      <w:r>
        <w:t xml:space="preserve"> </w:t>
      </w:r>
    </w:p>
    <w:p>
      <w:pPr>
        <w:pStyle w:val="Heading2"/>
      </w:pPr>
      <w:r>
        <w:t>Related Work</w:t>
      </w:r>
    </w:p>
    <w:p>
      <w:r>
        <w:t>Prior work compares supply chain management (SCM) approaches such as agile SCM, lean manufacturing, and digital transformation as routes to firm competitiveness, and separate research streams link organizational innovation capability and absorptive capacity to performance. Existing quantitative studies often use cross-sectional perceptual surveys, focus on larger firms, or examine single sectors; they typically rely on covariance-based associations without strong exogenous variation. Limitations in current methods include common-method bias from single-respondent surveys, limited objective performance verification, weak causal identification (few studies use valid instruments or staggered policy rollouts), underpowered mediation tests, and sparse measurement of project-oriented SCM (temporary alliances, project structuring) in SME contexts. Little prior work integrates objective performance proxies, pre-registered SEM equations, and IV/DiD strategies to strengthen causal claims for SMEs in developing regions.</w:t>
      </w:r>
    </w:p>
    <w:p>
      <w:r>
        <w:t xml:space="preserve"> </w:t>
      </w:r>
    </w:p>
    <w:p>
      <w:pPr>
        <w:pStyle w:val="Heading2"/>
      </w:pPr>
      <w:r>
        <w:t>Abstract</w:t>
      </w:r>
    </w:p>
    <w:p>
      <w:r>
        <w:t>This study tests whether project-oriented supply chain integration (POSCI) leads to greater innovation capability and, through improved operational performance, produces competitive advantage for small and medium enterprises (SMEs) in West Java. We use a regionally stratified manager/owner survey of SMEs combined with objective performance proxies and archived district policy/infrastructure timing to provide exogenous variation. Analysis uses pre-registered structural equation models (SEM) to estimate direct, indirect (mediation), and moderated paths; instrumental-variable (IV) and difference-in-differences (DiD) strategies strengthen causal claims. Main contributions are (1) a context-adapted POSCI measurement blueprint and validated innovation-capability scale, (2) combined SEM and quasi-experimental identification to test mediation by operational performance, and (3) publication-grade reproducibility with Monte Carlo power analysis and objective-data verification. Expected outcome: clear estimates of POSCI→innovation→competitive advantage pathways that inform SME policy and capacity-building in West Java. (SEM: a statistical method that models multiple relationships among measured and unmeasured variables.)</w:t>
      </w:r>
    </w:p>
    <w:p>
      <w:r>
        <w:t xml:space="preserve"> </w:t>
      </w:r>
    </w:p>
    <w:p>
      <w:pPr>
        <w:pStyle w:val="Heading2"/>
      </w:pPr>
      <w:r>
        <w:t>Experiments</w:t>
      </w:r>
    </w:p>
    <w:p>
      <w:r>
        <w:t>Datasets: primary survey of ~350 completed SMEs across 6 West Java districts stratified by district, sector (manufacturing vs services/creative/agri-processing), and firm size (micro/small/medium); pilot cognitive interviews with 20 firms; objective verification documents (redacted invoices, bank summaries, delivery logs) for a subset. Baselines: (A) covariance-based SEM (maximum likelihood with robust SEs); (B) PLS-SEM (partial least squares) as robustness; (C) reduced-form OLS regressions of outcomes on POSCI; (D) IV/2SLS and DiD estimators using district program rollout/infrastructure timing as instruments/exogenous shocks. Note: IV means using an external variable that affects POSCI but not the outcome directly; DiD means comparing treated vs control over time. Evaluation metrics: standardized path coefficients and their bootstrap 95% CIs (bootstrap draws = 5,000); indirect effect size and significance; model fit indices: RMSEA ≤0.08, CFI ≥0.90, SRMR ≤0.08; measurement: factor loadings ≥0.60, composite reliability ≥0.70, AVE ≥0.50, HTMT &lt;0.85; first-stage IV F-statistic &gt;10; verification rate (% of firms providing acceptable documents); Monte Carlo power (probability to detect indirect effect ≥0.80). Experimental setup: estimate measurement model (EFA then CFA) with 4–6 indicators per latent construct; primary structural tests use two-level SEM (firms nested in districts) with cluster-robust SEs; primary mediation estimand: product β1·β2 with bootstrap CIs; moderation tests include POSCI×digital_adoption terms and pre-specified moderated mediation CIs. Missing-data strategy: FIML for main SEM; MICE (50 imputations) for sensitivity. Comparisons/ablations: (1) SEM (covariance-based) vs PLS-SEM; (2) models with objective verification subset vs full self-report sample; (3) mediation model with and without operational performance mediator; (4) staggered-DiD primary estimator (Callaway &amp; Sant’Anna) vs Sun &amp; Abraham vs stacked DiD. Monte Carlo simulations: scenarios vary N={300,350,400}, indirect effect={0.08,0.105,0.15}, indicator loadings={0.60,0.75}, and ICC={0.01,0.05,0.10}; publish full scenario table including minimum detectable effects and baseline variances.</w:t>
      </w:r>
    </w:p>
    <w:p>
      <w:r>
        <w:t xml:space="preserve"> </w:t>
      </w:r>
    </w:p>
    <w:p>
      <w:pPr>
        <w:pStyle w:val="Heading2"/>
      </w:pPr>
      <w:r>
        <w:t>Risk Factors And Limitations</w:t>
      </w:r>
    </w:p>
    <w:p>
      <w:r>
        <w:t>IV exclusion risk: district program timing may correlate with unobserved district shocks (threat to causal interpretation). Measurement risk: POSCI and innovation items may show weak loadings or require formative modeling instead of reflective scales. Verification risk: low rates of document provision will reduce objective-outcome validation and may bias verified-sample estimates. Sample and clustering limits: few districts or small cluster counts reduce validity of cluster-robust SEs and standard multilevel inference. Common-method bias: single-respondent or concurrent measurement may inflate associations. Attrition and nonresponse: differential nonresponse can bias estimates and reduce power. Mediation identification: sequential ignorability (no unmeasured mediator–outcome confounders) is untestable and may not hold. Generalizability: results pertain to West Java SMEs and may not transfer to other regions or larger firms. Computational limits: bootstrap and Monte Carlo with complex multilevel SEMs require substantial compute and time. Missing data: nonrandom missingness can invalidate FIML or MI assumptions.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