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climate_risk_political_esg_audit_effort</w:t>
      </w:r>
    </w:p>
    <w:p>
      <w:r>
        <w:t xml:space="preserve"> </w:t>
      </w:r>
    </w:p>
    <w:p>
      <w:pPr>
        <w:pStyle w:val="Heading2"/>
      </w:pPr>
      <w:r>
        <w:t>Title</w:t>
      </w:r>
    </w:p>
    <w:p>
      <w:r>
        <w:t>Panel regression and instrumental-variable analysis of how political connections and ESG performance moderate the effect of firm-level climate-change risk on audit effort</w:t>
      </w:r>
    </w:p>
    <w:p>
      <w:r>
        <w:t xml:space="preserve"> </w:t>
      </w:r>
    </w:p>
    <w:p>
      <w:pPr>
        <w:pStyle w:val="Heading2"/>
      </w:pPr>
      <w:r>
        <w:t>Short Hypothesis</w:t>
      </w:r>
    </w:p>
    <w:p>
      <w:r>
        <w:t>A one-standard-deviation increase in lagged firm-level climate-change risk causes an increase in logged annual audit fees, and this effect is reduced for firms with stronger political connections and amplified for firms with higher ESG disclosure quality.</w:t>
      </w:r>
    </w:p>
    <w:p>
      <w:r>
        <w:t xml:space="preserve"> </w:t>
      </w:r>
    </w:p>
    <w:p>
      <w:pPr>
        <w:pStyle w:val="Heading2"/>
      </w:pPr>
      <w:r>
        <w:t>Related Work</w:t>
      </w:r>
    </w:p>
    <w:p>
      <w:r>
        <w:t>Existing studies examine links between corporate risk disclosures and audit fees, the role of political connections in firm outcomes, and how ESG metrics relate to firm risk and external monitoring. Common approaches use cross-sectional or standard panel regressions, event studies around policy adoption, and limited instrumental-variable (IV) strategies. Limitations include weak or inconsistent measures of climate risk (mixing physical and transition risk), overlap between climate and E-subscore measurement (double-counting), sparse task-level audit-hours data, limited attention to political-connection heterogeneity, weak instrument diagnostics, and underpowered samples in emerging markets. Difference-in-differences designs often fail to address staggered treatment timing bias, and many studies do not pre-register estimands or decision rules, leaving scope for specification searching. Measurement-error corrections and external validation against emissions registries are uncommon, and audit-fee elasticity is rarely decomposed into task-level channels.</w:t>
      </w:r>
    </w:p>
    <w:p>
      <w:r>
        <w:t xml:space="preserve"> </w:t>
      </w:r>
    </w:p>
    <w:p>
      <w:pPr>
        <w:pStyle w:val="Heading2"/>
      </w:pPr>
      <w:r>
        <w:t>Abstract</w:t>
      </w:r>
    </w:p>
    <w:p>
      <w:r>
        <w:t>This study tests whether firm-level climate-change risk raises auditors' effort and whether political connections and corporate ESG performance change that relationship. We use firm-panel methods and complementary causal designs to estimate the percent change in logged annual audit fees associated with a +1 standard-deviation shock in a lagged climate-risk index. Political connections (board political backgrounds, lobbying/contract flags) and ESG disclosure quality are tested as moderators in two- and three-way interactions. Identification is strengthened via event-study DiD around disclosure or policy shocks, narrow-margin regression discontinuity on elections, and IV 2SLS using staggered political and policy shocks; we pre-specify weak-IV robust inference and partial-identification sensitivity grids. We orthogonalize climate measures from overlapping E-components and validate against external emissions datasets. The main contribution is a transparent, preregistered causal assessment of how political embeddedness and ESG disclosure quality alter auditors' resource allocation in response to climate risk in an emerging-market setting. Expected outcome: quantified, policy-relevant estimates of the audit-effort response and credible bounds on moderation effects.</w:t>
      </w:r>
    </w:p>
    <w:p>
      <w:r>
        <w:t xml:space="preserve"> </w:t>
      </w:r>
    </w:p>
    <w:p>
      <w:pPr>
        <w:pStyle w:val="Heading2"/>
      </w:pPr>
      <w:r>
        <w:t>Experiments</w:t>
      </w:r>
    </w:p>
    <w:p>
      <w:r>
        <w:t>Datasets: firm-level panel of Egyptian non-financial public firms, years 2017–2022; financials from national filings/Compustat-like sources; audit fees and available audit-hours from Audit Analytics and national disclosures; ESG and climate-risk indices from multiple vendors (MSCI, Sustainalytics, Refinitiv, CDP); political-connection data from board biographies, lobbying records, election outcomes, and government-contract registries; external emissions datasets (EDGAR/ODIAC/E-PRTR) for validation. Baselines: (A) within-firm year-fixed-effect OLS of ln(audit_fee) on lagged standardized climate index (no moderators); (B) add two-way interactions with political_connections and ESG_quality; (C) full three-way interaction climate × political × ESG. Causal/comparative estimators: Difference-in-Differences/Event-Study around disclosure/policy shocks with Callaway–Sant’Anna or de Chaisemartin &amp; D’Haultfoeuille estimators for staggered timing; narrow-margin RD around close elections; 2SLS IV using staggered election-turnover and policy-adoption timing as instruments; system GMM for dynamic panels. Preprocessing: winsorize audit_fee at 1/99, log-transform fees, lag regressors by one year, orthogonalize climate index from E-subcomponents to produce climate_resid. Evaluation metrics: main estimand = percent change in ln(audit_fee) per +1 SD climate_resid (point estimate, SE, 95% CI, p-value); first-stage F-statistics (&gt;10 target); Anderson-Rubin CI coverage for IV; event-study pre-trend p-values; placebo coefficients on unrelated outcomes; calibration fit for audit-hours proxies (R2, RMSE). Ablations: compare raw climate index vs climate_resid (orthogonalized), vendor-specific ESG inputs vs consensus PCA score, FE-only vs IV estimates, inclusion vs exclusion of Big Four auditors, and complete-case vs MICE imputation. Power/sample rules: primary sample target ≥5,000 firm-years (minimum 3,000); task-level audit-hours subsample target ≥1,000 firm-years. Inference: cluster SEs at firm level, two-way clustering where feasible, and use wild-cluster bootstrap when cluster count is small.</w:t>
      </w:r>
    </w:p>
    <w:p>
      <w:r>
        <w:t xml:space="preserve"> </w:t>
      </w:r>
    </w:p>
    <w:p>
      <w:pPr>
        <w:pStyle w:val="Heading2"/>
      </w:pPr>
      <w:r>
        <w:t>Risk Factors And Limitations</w:t>
      </w:r>
    </w:p>
    <w:p>
      <w:r>
        <w:t>Measurement error: climate and ESG indices may be noisy and correlated, causing attenuation bias. Missing data: ESG, political-connection, and audit-hours coverage may be sparse, producing selection bias. Weak instruments: election or policy instruments may have weak first stages or direct effects violating exclusion. Staggered timing: DiD designs risk dynamic-bias if not using appropriate estimators. Small cluster counts: few firms or few political/geographic clusters can invalidate standard cluster-robust inference. Proxy limits: audit fees are an imperfect measure of auditor hours and tasks; task-level hours may be unavailable outside some jurisdictions. External validity: findings from Egyptian non-financial firms (2017–2022) may not generalize to other countries or sectors. Computational limits: combining many vendors and replication packages increases data-processing complexity. Causal ambiguity: unobserved confounders linked to both political connections and disclosure behavior could remain despite fixed effects and IV attempts.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