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milp_ultimate_pit_production_planning</w:t>
      </w:r>
    </w:p>
    <w:p>
      <w:r>
        <w:t xml:space="preserve"> </w:t>
      </w:r>
    </w:p>
    <w:p>
      <w:pPr>
        <w:pStyle w:val="Heading2"/>
      </w:pPr>
      <w:r>
        <w:t>Title</w:t>
      </w:r>
    </w:p>
    <w:p>
      <w:r>
        <w:t>A mixed-integer linear programming model for ultimate pit limit determination and long-term open-pit production planning under operational constraints and risk</w:t>
      </w:r>
    </w:p>
    <w:p>
      <w:r>
        <w:t xml:space="preserve"> </w:t>
      </w:r>
    </w:p>
    <w:p>
      <w:pPr>
        <w:pStyle w:val="Heading2"/>
      </w:pPr>
      <w:r>
        <w:t>Short Hypothesis</w:t>
      </w:r>
    </w:p>
    <w:p>
      <w:r>
        <w:t>A two-stage mixed-integer linear programming model that enforces seven operational constraints and optional stockpile handling, solved with Pareto Benders cuts and CVaR risk adjustment, produces higher risk-adjusted net present value and more operationally feasible extraction plans than standard Lerchs–Grossmann shells and heuristic scheduling on representative open-pit datasets.</w:t>
      </w:r>
    </w:p>
    <w:p>
      <w:r>
        <w:t xml:space="preserve"> </w:t>
      </w:r>
    </w:p>
    <w:p>
      <w:pPr>
        <w:pStyle w:val="Heading2"/>
      </w:pPr>
      <w:r>
        <w:t>Related Work</w:t>
      </w:r>
    </w:p>
    <w:p>
      <w:r>
        <w:t>Existing work separates ultimate pit determination (classical Lerchs–Grossmann shell algorithms) from production scheduling heuristics; some studies apply mixed-integer programming for scheduling but often omit full operational constraints (detailed precedence from slope geometry, minimum bench exposures, haulage capacity, and stockpile dynamics) or risk measures. Stochastic approaches use scenario sampling and progressive hedging or Benders decomposition, but they face scalability and numerical stability problems when many blocks and scenarios are combined. Cut-generation methods (Benders and Magnanti–Wong) improve convergence for linear subproblems, yet implementations frequently lack formal routines for Pareto cut scaling, validation when subproblems are integer, and cut-pool governance. Scenario-reduction tools (k-means, moment matching, Wasserstein methods) preserve distribution moments but are rarely evaluated on decision stability (block selection) or CVaR fidelity. Fleet and DES coupling is typically external and heuristic, leaving a gap for an integrated, validated MILP pipeline that is auditable and scalable.</w:t>
      </w:r>
    </w:p>
    <w:p>
      <w:r>
        <w:t xml:space="preserve"> </w:t>
      </w:r>
    </w:p>
    <w:p>
      <w:pPr>
        <w:pStyle w:val="Heading2"/>
      </w:pPr>
      <w:r>
        <w:t>Abstract</w:t>
      </w:r>
    </w:p>
    <w:p>
      <w:r>
        <w:t>We propose a two-stage mixed-integer linear programming (MILP) framework to determine ultimate pit limits and optimize long-term production scheduling for open-pit mines under operational realism and risk. The model enforces seven operational constraints: four geometric (block precedence derived from slope/berm geometry, pit-floor width, extraction continuity, no repeated extraction) and three demand-based (processing capacity, ore block demand, minimum feed grade per period). Optional stockpile variables allow temporary inventory or shortage. Risk is managed via a linearized Conditional Value-at-Risk (CVaR) term. Computational tractability uses a primary decomposition: first-stage binary ultimate-pit variables and parallel per-scenario subproblems for scheduling, fleet, and blending; Pareto Benders cuts (Magnanti–Wong) with deterministic normalization stabilize convergence. The main contribution is an auditable, reproducible pipeline combining seeded scenario generation and reduction, validated precedence graph construction, cut-certification rules for integer subproblems, and a DES–MILP calibration loop. Expected outcomes are improved risk-adjusted NPV, operationally implementable schedules, and reproducible stability certificates for block-selection decisions.</w:t>
      </w:r>
    </w:p>
    <w:p>
      <w:r>
        <w:t xml:space="preserve"> </w:t>
      </w:r>
    </w:p>
    <w:p>
      <w:pPr>
        <w:pStyle w:val="Heading2"/>
      </w:pPr>
      <w:r>
        <w:t>Experiments</w:t>
      </w:r>
    </w:p>
    <w:p>
      <w:r>
        <w:t>Datasets: three deposit archetypes (low/medium/high grade variance) with block models at sizes: 10k (MVP), 100k (scale), and a synthetic structured 1M stress test. For each archetype generate N_full = 1000 conditional scenarios with deterministic seed. Scenario reduction: S in {10,50,100,200,500,1000} using forward selection (FFS), k-means, Wasserstein barycenter, and moment matching; reweight clusters to preserve probabilities. Baselines: (A) Lerchs–Grossmann shell + greedy heuristic scheduler, (B) deterministic MILP (single expected scenario), (C) MILP without stockpile variables, (D) MILP with no CVaR (risk-neutral), (E) Progressive Hedging implementation. Solver and environment: containerized runs with Gurobi/CPLEX, 32–64 cores, 128 GB RAM, fixed seeds, time limits per full MILP run 4–8 hours for 10k, subproblem time-limits 60–300 s, parallel worker pool sized = min(S, 32). Evaluation metrics: expected discounted NPV, CVaR_α (α in {0.90,0.95,0.99}), block-selection frequency (per-block selection rate across bootstrap), Jaccard similarity of pit footprints, volume mismatch vs Lerchs–Grossmann, Hamming distance on x_b, root LP gap, wall-clock time, memory, Benders iterations, cut counts, and DES KPIs (throughput adherence, avg truck wait, shovel utilization). Experimental protocol: for each archetype and S, run B = 200 bootstrap repeats with different seeds (per PI guidance), grid-search α ∈ {0.90,0.95,0.99} and λ ∈ {0,0.1,1,10} (risk weight). Acceptance rules: require block overlap (Jaccard) ≥ 0.95 and |ΔCVaR| ≤ 2% across bootstraps; otherwise increase S. Ablations: (1) remove stockpile handling, (2) drop one geometric constraint at a time (precedence, pit floor width, continuity), (3) disable Pareto-Magnanti strengthening, (4) different cut normalization schemes. Outputs: per-run PDF/JSON reports with mean±95% CI for NPV and CVaR, block-frequency heatmaps, S vs stability plots, compute budgets, and decision-certificates (pass/fail).</w:t>
      </w:r>
    </w:p>
    <w:p>
      <w:r>
        <w:t xml:space="preserve"> </w:t>
      </w:r>
    </w:p>
    <w:p>
      <w:pPr>
        <w:pStyle w:val="Heading2"/>
      </w:pPr>
      <w:r>
        <w:t>Risk Factors And Limitations</w:t>
      </w:r>
    </w:p>
    <w:p>
      <w:r>
        <w:t>Data and modeling biases: conditional simulations and NSR inputs may not represent true deposit uncertainty, biasing x_b choices. Computational scaling: per-scenario subproblem sizes grow linearly with blocks and periods; 100k–1M block runs may be infeasible without further decomposition or pattern-based column generation. Numerical instability: large cut coefficients, inconsistent scaling, or poorly normalized Magnanti cuts can cause solver failures or lost optimality guarantees. Integer subproblem validity: LP-based cuts may be invalid if subproblem integrality is binding; generating and certifying no-good cuts increases branch complexity. DES calibration mismatch: discrete-event simulator outputs may differ from aggregate fleet variables, causing iterative oscillation in cph updates. Scenario-reduction risk: reduced scenario sets can change optimal x_b; bootstrap stability tests may require large B and compute. Resource constraints: solver licenses, memory limits, and parallel orchestration can bottleneck experiments. Generalization limits: results validated on three archetypes may not transfer to all geology, irregular meshes, or regulatory frameworks.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