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firm_heterogeneity_default_risk</w:t>
      </w:r>
    </w:p>
    <w:p>
      <w:r>
        <w:t xml:space="preserve"> </w:t>
      </w:r>
    </w:p>
    <w:p>
      <w:pPr>
        <w:pStyle w:val="Heading2"/>
      </w:pPr>
      <w:r>
        <w:t>Title</w:t>
      </w:r>
    </w:p>
    <w:p>
      <w:r>
        <w:t>Assessing how firm-level heterogeneity alters the predictive power of financial indicators for default risk using logistic regression and random forests</w:t>
      </w:r>
    </w:p>
    <w:p>
      <w:r>
        <w:t xml:space="preserve"> </w:t>
      </w:r>
    </w:p>
    <w:p>
      <w:pPr>
        <w:pStyle w:val="Heading2"/>
      </w:pPr>
      <w:r>
        <w:t>Short Hypothesis</w:t>
      </w:r>
    </w:p>
    <w:p>
      <w:r>
        <w:t>Stratifying models by firm-level heterogeneity (industry, technological level, size, age) or adding heterogeneity interactions improves 1-year default discrimination (AUC) by at least 0.03 absolute compared with a pooled model without heterogeneity controls.</w:t>
      </w:r>
    </w:p>
    <w:p>
      <w:r>
        <w:t xml:space="preserve"> </w:t>
      </w:r>
    </w:p>
    <w:p>
      <w:pPr>
        <w:pStyle w:val="Heading2"/>
      </w:pPr>
      <w:r>
        <w:t>Related Work</w:t>
      </w:r>
    </w:p>
    <w:p>
      <w:r>
        <w:t>Existing approaches to firm default prediction usually fall into two classes: simple parametric credit scoring (logistic regression and proportional-hazards survival models) and flexible machine-learning methods (random forests, gradient boosting). Parametric methods are interpretable but often assume a single homogeneous population and proportional effects, which can bias estimates when firms differ. Machine-learning models capture nonlinearities and interactions but often ignore censoring (when an observation leaves the sample before the event) and produce opaque explanations. Work on heterogeneity uses frailty/ random-effect survival models or latent-class clustering to allow subgroup differences, and hierarchical Bayesian pooling to borrow strength for small groups. Limitations: many studies pool across firms and do not pre-register vintage/no-look-ahead rules, few integrate proper censoring adjustments with ML oversampling, causal identification is weak (limited use of modern staggered DiD or robust IV methods), and fairness/SHAP stability across vintages is underexplored. Practical gaps include small-event strata inference, reproducible vintage pipelines, and regulator-ready threshold justification.</w:t>
      </w:r>
    </w:p>
    <w:p>
      <w:r>
        <w:t xml:space="preserve"> </w:t>
      </w:r>
    </w:p>
    <w:p>
      <w:pPr>
        <w:pStyle w:val="Heading2"/>
      </w:pPr>
      <w:r>
        <w:t>Abstract</w:t>
      </w:r>
    </w:p>
    <w:p>
      <w:r>
        <w:t>We study whether and how firm-level heterogeneity (industry, technological level, size, age) changes which financial indicators best predict one-year default risk for Italian firms. Using pre-registered monthly vintages and an external out-of-time holdout, we compare pooled logistic regression and random-forest classifiers to heterogeneity-aware alternatives: stratified models, interaction-augmented pooled models, and hierarchical (partial-pooling) models. We measure predictive performance with 1-year AUC (area under the ROC curve, a discrimination measure), Brier score (a probability accuracy measure), calibration slope, and precision-recall metrics and report bootstrap confidence intervals. The main contribution is a reproducible evaluation that isolates when heterogeneity materially alters predictor importance and model performance, and quantifies effect sizes relevant for supervisory decisions. Expected outcomes are (1) clear rules showing which strata require tailored models, (2) an assessment of trade-offs between pooled ML accuracy and stratum-level interpretability, and (3) governance-ready artifacts (vintaging, power calculations, and SHAP stability tests) to support deployment of heterogeneity-aware default prediction systems.</w:t>
      </w:r>
    </w:p>
    <w:p>
      <w:r>
        <w:t xml:space="preserve"> </w:t>
      </w:r>
    </w:p>
    <w:p>
      <w:pPr>
        <w:pStyle w:val="Heading2"/>
      </w:pPr>
      <w:r>
        <w:t>Experiments</w:t>
      </w:r>
    </w:p>
    <w:p>
      <w:r>
        <w:t>Datasets: versioned panel of Italian firms with annual and quarterly balance-sheet/income features, monthly decision-date vintages, bankruptcy/insolvency labels, acquisition/workout flags, and exposures where available. External holdout: entire 2026 vintage reserved for final evaluation. Preprocessing: follow no-look-ahead vintage rule; construct lagged covariates at decision date; define 1-year default label (default within 12 months). Baselines: (A) pooled logistic regression (LR) with L2 penalty; (B) pooled random forest (RF) classifier; (C) pooled Cox model (for time-to-event). Heterogeneity models: (D) stratified LR and RF by sector/size/age/tech; (E) pooled LR and RF with explicit interaction terms between financial indicators and heterogeneity variables; (F) hierarchical Bayesian logistic model (partial pooling by strata). Additional comparator: survival-GBM (gradient boosting for censored outcomes) using IPCW-weighted loss. Encoding time-varying covariates: for classifiers use landmarking with fixed 3-, 6-, 12-month lags; for survival models use counting-process style representation (start,end, covariates) where each row is an interval. Rare-event handling: compare class-weighting, informed stratified oversampling (SMOTE on covariate space only for uncensored classification rows), and IPCW for survival losses; note SMOTE applied only to uncensored classification data. Evaluation metrics: 1-year AUC (Uno's C for survival where applicable), 1-year Brier score (IPCW where censored), calibration slope and calibration-in-the-large, PR-AUC, precision@k (top k risk flags), decision-curve net benefit over FN:FP ratios {5,10,20,50}, and bootstrap 95% CIs (500 repeats). Validation: nested temporal hyperparameter tuning with rolling-origin (train on past vintages, validate on next vintage) and final test on external 2026 holdout. Statistical tests: DeLong/bootstrap test for AUC differences; precomputed simulation-based power analysis to detect AUC delta = 0.03 given observed default rates and seasonality. Ablations: (1) pooled vs stratified vs interaction vs hierarchical to isolate heterogeneity effects; (2) compare SMOTE vs class-weight vs IPCW to measure bias in calibration and discrimination; (3) SHAP explanation stability test: bootstrap SHAP rank correlations across 200 resamples and across vintages; (4) small-strata inference: compare Firth-corrected LR and Bayesian partial pooling when events per stratum &lt;50. Output: per-stratum variable importance, OOS metrics, power results, and signed decision-rule gains mapped to expected credit-loss change.</w:t>
      </w:r>
    </w:p>
    <w:p>
      <w:r>
        <w:t xml:space="preserve"> </w:t>
      </w:r>
    </w:p>
    <w:p>
      <w:pPr>
        <w:pStyle w:val="Heading2"/>
      </w:pPr>
      <w:r>
        <w:t>Risk Factors And Limitations</w:t>
      </w:r>
    </w:p>
    <w:p>
      <w:r>
        <w:t>Label noise and censoring: legal default labels can be delayed or miscoded; censoring (firms leaving without default) can bias estimates. Small-event strata: many strata may have fewer than 50 defaults, limiting reliable stratum-specific inference. Oversampling and censoring interaction: synthetic oversampling (SMOTE) on cross-sectional data can break censoring assumptions and distort survival estimates. Covariate shift and seasonality: economic cycles can change feature distributions over time, causing false alarms or missed degradation. Model interpretability vs accuracy trade-off: complex RF or ensembles may outperform simple LR but yield less transparent drivers for regulators. Computational cost: hierarchical Bayesian models and large nested temporal tuning are compute intensive and may be slow at scale. External validity: results on Italian firms may not generalize to other countries or regulatory regimes. Fairness measurement limits: low-event groups make subgroup calibration unreliable. Causal claims: observational instruments and staggered DiD remain vulnerable to unobserved confounding and weak-instrument problems.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