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effectuation_precommitments_internationalization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panel and quasi-experimental analysis of how financial, contractual, and relational pre-commitments affect SMEs' international performance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levels of pre-commitment (financial, contractual, or relational) by SMEs causally increase subsequent international performance up to a point, after which additional pre-commitment yields diminishing or negative returns.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links effectuation theory and real-options reasoning to firm internationalization by arguing that commitments (sunk investments, contracts, partner ties) enable opportunity creation and international outcomes. Empirical work often uses cross-sectional surveys and PLS-SEM to show associations between effectual practices and export performance, but these approaches cannot establish causality or capture dynamic timing. Quasi-experimental and panel studies in international business use policy shocks (tariff changes, subsidies, legal reforms) and instrumental-variable (IV) strategies to isolate causal effects, yet they typically focus on single instrument types (financial or legal) and rarely integrate relational measures. Configurational methods (fsQCA) and process-tracing provide context-rich causal pathways but lack generalizability. Limitations: weak causal identification when instruments are not validated, insufficient attention to nonlinear (e.g., inverted-U) effects, inadequate cross-country measurement invariance, small samples for GMM or IV diagnostics, and sparse linkage between behavioral micro-mechanisms (decision heuristics) and archival outcomes.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and how three kinds of pre-commitments—financial (sunk capex), contractual (formal contract terms), and relational (partner persistence and trust)—drive international performance of small and medium enterprises (SMEs). We combine panel econometrics with quasi-experimental instruments, behavioral vignette experiments, psychometric validation, fuzzy-set qualitative comparative analysis (fsQCA), and process-traced cases. Primary estimation uses firm-year panels and fixed-effects instrumental-variable models (with LIML and system-GMM contingencies) to identify causal effects and nonlinearities. Experiments validate micro-level mechanisms (signaling, rigidity, adaptive choice) and provide measures for mediation tests. Main contributions: (1) causal evidence on distinct pre-commitment types; (2) explicit tests for nonlinearity (diminishing returns) and moderation by experiential learning; (3) a preregistered integration protocol that ties experiments, fsQCA, and panel IV results. Expected outcome: clear, testable estimates of when pre-commitments help or hinder SME internationalization, and transferable measurement tools for future research.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Archival panel: firm-year data from Orbis (firm financials), UN Comtrade (trade flows), national policy event timelines (contract-law reforms, tariff phase-ins, export-credit program rollouts), and contract/alliance databases; pilot scope: 600 firms across 2 industries (knowledge-intensive services, auto components) and 3 countries (US, India, Brazil) for 2–3 years; full target: 2,500 firms over 5–7 years. 2) Survey/behavioral: firm-level survey with validated psychometric scales (trust, adaptive flexibility), and online vignette experiments (N per vignette ≥ 600) recruiting managers via panels. 3) Qualitative: 6–8 deep process-traced cases and 20–40 comparative cases for fsQCA. Baselines: pooled OLS, firm fixed effects (FE), FE with clustered SEs, FE-IV using policy instruments (LIML as robustness), and system-GMM where appropriate (Arellano-Bover/Blundell-Bond). Primary estimand: causal effect of lagged pre-commitment indices (t-1) on international performance at t. Key variables: financial_precommitment = CAPEX_t / ASSETS_{t-1}; Contract_Index normalized composite (exclusivity, duration capped at 60 months, termination penalty/lagged assets, enforceability score); Relational_Index weighted composite (partner persistence, reciprocity rate, trust scale). Evaluation metrics: coefficient estimates with robust SEs, first-stage F-statistics (&gt;10 threshold), local average treatment effect (LATE) bounds, R-squared, marginal effect plots, Johnson–Neyman regions, fsQCA consistency/coverage, and experimental effect sizes (Cohen's d). Ablation/comparisons: (A) compare models with and without relational index to test mediation; (B) IV (LIML) vs FE estimates to assess endogeneity; (C) linear vs quadratic and restricted cubic spline specifications to detect nonlinearity; (D) include/exclude experiential-learning moderator and test moderated-mediation in SEM. Pre-registered diagnostics: instrument pre-trend plots, placebo outcomes (domestic-only sales), balance tests, and overidentification/Hansen J where applicable.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Weak instruments: policy shocks may not strongly predict firm-level pre-commitments (low first-stage F), limiting causal identification. 2) Measurement non-invariance: survey scales may not hold scalar invariance across countries, complicating cross-country comparisons. 3) Small-T biases: short panel duration reduces reliability of system-GMM and may produce instrument proliferation; Windmeijer correction and instrument collapse reduce but do not eliminate risks. 4) MNAR missingness: non-random attrition or missing survey responses can bias estimates; selection models have limits. 5) External validity: vignette experiment results may not generalize to real-world firm decisions. 6) Data access delays: DUAs and ethics approvals (India/Brazil) can delay data collection and reduce sample size. 7) Confounding and reverse causality: unobserved manager traits or contemporaneous shocks could bias estimates if instruments fail exclusion. 8) Scalability and compute: linking multiple large administrative datasets and running high-dimensional IV/GMM and fsQCA analyses require significant data-engineering and compute resources. 9) Generalization limits: findings for the chosen industries and countries may not extend to all SME sectors or institutional contexts.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