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agentarceval_arch_eval</w:t>
      </w:r>
    </w:p>
    <w:p>
      <w:r>
        <w:t xml:space="preserve"> </w:t>
      </w:r>
    </w:p>
    <w:p>
      <w:pPr>
        <w:pStyle w:val="Heading2"/>
      </w:pPr>
      <w:r>
        <w:t>Title</w:t>
      </w:r>
    </w:p>
    <w:p>
      <w:r>
        <w:t>AgentArcEval: a scenario-driven, machine-checkable evaluation method for architectures of foundation-model-based agents</w:t>
      </w:r>
    </w:p>
    <w:p>
      <w:r>
        <w:t xml:space="preserve"> </w:t>
      </w:r>
    </w:p>
    <w:p>
      <w:pPr>
        <w:pStyle w:val="Heading2"/>
      </w:pPr>
      <w:r>
        <w:t>Short Hypothesis</w:t>
      </w:r>
    </w:p>
    <w:p>
      <w:r>
        <w:t>Applying the AgentArcEval protocol to pairwise architecture comparisons will correctly attribute performance differences to agent architecture (not backbone updates) with ≥80% probability for effects of Cohen's d ≥ 0.35.</w:t>
      </w:r>
    </w:p>
    <w:p>
      <w:r>
        <w:t xml:space="preserve"> </w:t>
      </w:r>
    </w:p>
    <w:p>
      <w:pPr>
        <w:pStyle w:val="Heading2"/>
      </w:pPr>
      <w:r>
        <w:t>Related Work</w:t>
      </w:r>
    </w:p>
    <w:p>
      <w:r>
        <w:t>Existing evaluation work mostly measures standalone foundation models or end-to-end agent performance using task-level benchmarks. Typical approaches do not separate architecture effects (e.g., planner, memory, tool-handling) from backbone model changes, often lack machine-checkable scoring for multi-step plans, and rarely provide reproducible snapshotting or sim-to-real calibration. Prior methods commonly use ad-hoc heuristics for plan quality or subgoal success, limited statistical models without clustered permutation tests, and incomplete cost or safety accounting. These limitations lead to confounded attributions (improvements blamed on architecture that are due to model version or randomness), poor handling of non-deterministic agent runs, scarce adversarial holdouts, and weak reproducibility practices (missing checksums, seeds, environment snapshots). AgentArcEval targets these gaps by making scoring, versioning, statistical inference, sim-to-real calibration, and safety labeling explicit and machine-checkable.</w:t>
      </w:r>
    </w:p>
    <w:p>
      <w:r>
        <w:t xml:space="preserve"> </w:t>
      </w:r>
    </w:p>
    <w:p>
      <w:pPr>
        <w:pStyle w:val="Heading2"/>
      </w:pPr>
      <w:r>
        <w:t>Abstract</w:t>
      </w:r>
    </w:p>
    <w:p>
      <w:r>
        <w:t>We introduce AgentArcEval, an evaluation method designed to measure and attribute performance differences among architectures of foundation-model-based agents. AgentArcEval combines: (1) a catalogue of general agent scenarios that guide concrete test generation; (2) machine-checkable scoring rubrics for multi-step behavior (plan-coherence and subgoal success) that yield numeric task scores; (3) canonical backbone registry and snapshot rules to prevent confounding from model upgrades; (4) a freeze-and-back-test protocol and pre-registered statistical analysis (mixed-effects models plus cluster-preserving permutation tests) for valid inference under non-determinism; (5) sim-to-real calibration of simulator noise to real logs; and (6) CI-gated artifacts with cost accounting and safety labeling. The main contribution is a reproducible, scenario-driven pipeline that isolates architectural effects from backbone variation and runtime noise, enabling defensible comparisons across agent designs. Expected outcome: a validated pilot demonstrating that architecture-level differences are detectable, attributable, and cost-accountable using machine-checkable artifacts and pre-registered analysis.</w:t>
      </w:r>
    </w:p>
    <w:p>
      <w:r>
        <w:t xml:space="preserve"> </w:t>
      </w:r>
    </w:p>
    <w:p>
      <w:pPr>
        <w:pStyle w:val="Heading2"/>
      </w:pPr>
      <w:r>
        <w:t>Experiments</w:t>
      </w:r>
    </w:p>
    <w:p>
      <w:r>
        <w:t>Datasets: HotPotQA subset (multi-hop QA, N=200 held-out for sim-to-real), HumanEval subset (code tasks, N=200), MS MARCO retrieval traces (N=200), Mini-ALF procedural tasks (N=100). Baselines: Mono baseline (single-model agent), Planner–Executor (PE) architecture, naive evaluation without snapshotting/version pinning. Backbones pinned per registry: Llama-2-13b-chat:v2.1, Llama-2-70b-chat:v2.1, Mistral-Instruct-v0:2024-04-01, Anthropic-Claude-2.1:tag, OpenAI-gpt-4o:2024-04-01 (record exact artifact IDs, tokenizer hashes, SHA256 checksums). Evaluation metrics: plan-coherence (mean calibrated relevance × (1 − contradiction risk); relevance is cosine similarity calibrated to probability), subgoal success (ternary mapped {0,0.5,1} by coverage thresholds: ≥0.8→1, 0.3–0.8→0.5, &lt;0.3→0), aggregate task score (weighted mean of subgoal scores), binary success rate, cost-effectiveness CE = ΔAccuracy(%) / ΔCost(USD) (technical term: Cohen's d is standardized effect size; d≥0.35 used for power). Experimental setup: pre-registered design with paired comparisons, α=0.05, target power 80%, minimal detectable d=0.35; operational sample: full study 10 tasks × 8 seeds = 80 paired observations per primary contrast; pilot 3 tasks × 5 seeds. Randomization: deterministic seed assignment via pre-registered job matrix; missing/aborted runs counted as Fail and logged. Statistical analysis: primary mixed-effects model Outcome_ijk = β0 + β1*Planner + β2*Memory + β3*Tools + β4*Backbone + (1|Task_i) + (1|Seed_j) + ε_ijk; use Gaussian/Beta/Binomial families per outcome; permutation test: shuffle condition labels within Task×Seed blocks, 10,000 permutations, two-sided max-T for primary contrasts; multiple comparisons: Holm for primary endpoints, Benjamini-Hochberg FDR 0.05 for exploratory. Ablations: remove planner, remove episodic memory, disable external tools; compare with and without backbone freeze-and-back-test protocol. Diagnostics: report ICC(Task), ICC(Seed), random-effect SEs, model convergence traces, and permutation null calibration (Type I error). CI and gates: scorer unit tests, snapshot integrity, and cost reports required for acceptance.</w:t>
      </w:r>
    </w:p>
    <w:p>
      <w:r>
        <w:t xml:space="preserve"> </w:t>
      </w:r>
    </w:p>
    <w:p>
      <w:pPr>
        <w:pStyle w:val="Heading2"/>
      </w:pPr>
      <w:r>
        <w:t>Risk Factors And Limitations</w:t>
      </w:r>
    </w:p>
    <w:p>
      <w:r>
        <w:t>Technical failure modes: non-convergent mixed models or unstable random-effect estimates when variance components are small or tasks are heterogeneous. Data/evaluation bias: scenario catalogue or adversarial suites may not cover real-world user diversity, causing overfit to templates. Sim-to-real limits: simulator tuning may not capture rare real failure modes; divergence metrics (Wasserstein-1, KL) may not fully map to operational impact. Scalability/compute: snapshotting many backbones and running 80+ paired observations across large models incurs high GPU cost and storage. Measurement variability: non-deterministic agent behavior and rare-event metrics may produce high variance and make tight reproducibility gates (e.g., ±1 percentage point) infeasible. Safety and privacy: automated PII redaction can have false negatives; safety classifier thresholds may miss low-frequency harmful outputs. Generalization: findings may not transfer to architectures or tasks outside the scenario catalogue (e.g., long-horizon robotics). Adversarial risk: adversarial-suite templating may be gamed by models, reducing suite effectiveness over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