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refa_devops_compliance_study</w:t>
      </w:r>
    </w:p>
    <w:p>
      <w:r>
        <w:t xml:space="preserve"> </w:t>
      </w:r>
    </w:p>
    <w:p>
      <w:pPr>
        <w:pStyle w:val="Heading2"/>
      </w:pPr>
      <w:r>
        <w:t>Title</w:t>
      </w:r>
    </w:p>
    <w:p>
      <w:r>
        <w:t>A longitudinal causal evaluation of REFA: a prescriptive DevOps lifecycle model for meeting IEC 62443-4-1 security compliance</w:t>
      </w:r>
    </w:p>
    <w:p>
      <w:r>
        <w:t xml:space="preserve"> </w:t>
      </w:r>
    </w:p>
    <w:p>
      <w:pPr>
        <w:pStyle w:val="Heading2"/>
      </w:pPr>
      <w:r>
        <w:t>Short Hypothesis</w:t>
      </w:r>
    </w:p>
    <w:p>
      <w:r>
        <w:t>Implementing the REFA lifecycle model in DevOps pipelines causes a reduction in median time-to-remediation for security-related failures by at least 20% within six months compared to standard DevOps practices.</w:t>
      </w:r>
    </w:p>
    <w:p>
      <w:r>
        <w:t xml:space="preserve"> </w:t>
      </w:r>
    </w:p>
    <w:p>
      <w:pPr>
        <w:pStyle w:val="Heading2"/>
      </w:pPr>
      <w:r>
        <w:t>Related Work</w:t>
      </w:r>
    </w:p>
    <w:p>
      <w:r>
        <w:t>Existing approaches include informal DevSecOps practices, automated security gates via policy-as-code, continuous compliance platforms, and causal methods applied to operational metrics. Informal DevSecOps often lacks prescriptive mappings to specific standards, so teams vary widely in controls and evidence. Policy-as-code enforces rules but frequently emits non-standard telemetry and lacks consistent pseudonymization and audit bundles. Continuous compliance tools focus on point tools (SAST, SCA) without lifecycle-level integration tied to standards like IEC 62443-4-1. Prior causal evaluations of DevOps interventions use basic difference-in-differences or before/after comparisons but often neglect staggered rollouts, spillovers between teams, and insufficient power planning. Privacy and re-identification defenses in practice rely on ad hoc hashing without KMS-backed key management or published DP utility-risk tradeoffs. In sum, existing methods are fragmented: they provide enforcement or telemetry or causal analysis, but they do not offer an integrated, standards-aligned lifecycle model with audit-ready instrumentation, rigorous causal identification for staggered pilots, and concrete privacy operations.</w:t>
      </w:r>
    </w:p>
    <w:p>
      <w:r>
        <w:t xml:space="preserve"> </w:t>
      </w:r>
    </w:p>
    <w:p>
      <w:pPr>
        <w:pStyle w:val="Heading2"/>
      </w:pPr>
      <w:r>
        <w:t>Abstract</w:t>
      </w:r>
    </w:p>
    <w:p>
      <w:r>
        <w:t>This study evaluates whether a prescriptive DevOps lifecycle model, REFA, that maps pipeline controls to the IEC 62443-4-1 standard, produces measurable improvements in continuous security compliance. REFA prescribes policy-as-code enforcement points, standardized telemetry events, deterministic pseudonymization, and auditor-ready evidence bundles. We propose a longitudinal, staggered-rollout evaluation using causal estimators designed for staggered adoption (Callaway &amp; Sant’Anna, event-study) and time-to-event models for remediation time (Cox frailty). The main contribution is an end-to-end protocol that links standards-based controls to reproducible telemetry, privacy-preserving identifiers, and predefined estimands, enabling auditable causal inference. Expected outcomes are (1) a quantified effect of REFA on remediation time and compliance rates, (2) validated instrumentation and privacy procedures for longitudinal linkage, and (3) operational KPIs for pilot readiness. Results will inform practitioners and regulators about the practical impact and trade-offs of embedding security compliance into DevOps lifecycles.</w:t>
      </w:r>
    </w:p>
    <w:p>
      <w:r>
        <w:t xml:space="preserve"> </w:t>
      </w:r>
    </w:p>
    <w:p>
      <w:pPr>
        <w:pStyle w:val="Heading2"/>
      </w:pPr>
      <w:r>
        <w:t>Experiments</w:t>
      </w:r>
    </w:p>
    <w:p>
      <w:r>
        <w:t>Datasets: pilot telemetry from 6–30 engineering teams across 3–10 organizations with 6 months pre-intervention and 6 months post-intervention per team; synthetic telemetry generators for power and stress tests; labeled deduplication validation set (~5k hand-labeled event pairs). Baselines: (A) standard DevOps instrumentation without REFA enforcement, (B) policy-as-code enforcement without IEC 62443 mapping, (C) REFA without deterministic pseudonymization (raw IDs internal), (D) synthetic-control estimator as nonparametric baseline. Metrics: median time-to-remediation (days), hazard ratio for remediation events, deployment frequency, change-failure rate, compliance-adherence rate (percent of evaluated controls passing), schema-conformance rate, ingest completeness, and false-merge/false-split rates for dedupe. Statistical methods: staggered DID with Callaway &amp; Sant’Anna, event-study leads/lags, IV/CACE when uptake incomplete, mixed-effects Cox with team frailty for survival, permutation inference clustered at team level. Experimental setup: preregister primary outcome (median time-to-remediation within 180 days), randomize rollout timing where feasible, collect N≥30 treated and N≥30 control teams for medium effect power or scale to N≈150 per arm for small effects; run power simulations over ICC∈{0.02,0.05,0.15,0.30} and effect d∈{0.2,0.35,0.5}. Ablations: remove policy-as-code instrumentation to measure its contribution; compare HMAC-SHA256 pseudonymization with raw IDs and with DP-noised aggregates (ε∈{0.5,1,2}) to measure utility loss; validate dedupe thresholds by varying Jaro-Winkler cutoffs and report error-budget tradeoffs. Evaluation: report point estimates, clustered SEs, 95% CIs, pre-trend tests, placebo-date falsification, and power operating characteristics from simulations.</w:t>
      </w:r>
    </w:p>
    <w:p>
      <w:r>
        <w:t xml:space="preserve"> </w:t>
      </w:r>
    </w:p>
    <w:p>
      <w:pPr>
        <w:pStyle w:val="Heading2"/>
      </w:pPr>
      <w:r>
        <w:t>Risk Factors And Limitations</w:t>
      </w:r>
    </w:p>
    <w:p>
      <w:r>
        <w:t>Technical failure modes: broken linkage from key rotation can prevent longitudinal matching; HMAC with weak salts or small identifier spaces can allow brute-force re-identification. Data biases: pilot teams may be non-representative (selection bias) and consent rates may reduce sample size, biasing effect estimates. Causal challenges: spillovers between teams and time-varying confounders can violate parallel-trends assumptions. Statistical limits: low event counts for remediation events reduce power for survival models; high intracluster correlation increases required sample sizes. Privacy and DP limits: differential privacy noise reduces analytic utility, especially for small counts; attacker models may be underestimated. Scalability and compute: high-volume telemetry increases storage and query costs and may exceed pilot budgets. Generalization: results from critical-infrastructure or volunteer teams may not generalize to other sectors or larger organizations. Evaluation constraints: prespecified model assumption failures (non-proportional hazards) may require alternative models, limiting comparability to preregistered estimands.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