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bridging_sim_exp_ssda</w:t>
      </w:r>
    </w:p>
    <w:p>
      <w:r>
        <w:t xml:space="preserve"> </w:t>
      </w:r>
    </w:p>
    <w:p>
      <w:pPr>
        <w:pStyle w:val="Heading2"/>
      </w:pPr>
      <w:r>
        <w:t>Title</w:t>
      </w:r>
    </w:p>
    <w:p>
      <w:r>
        <w:t>A self-supervised domain adaptation framework using synthetic coda-wave simulations to classify concrete damage in unlabeled experimental measurements</w:t>
      </w:r>
    </w:p>
    <w:p>
      <w:r>
        <w:t xml:space="preserve"> </w:t>
      </w:r>
    </w:p>
    <w:p>
      <w:pPr>
        <w:pStyle w:val="Heading2"/>
      </w:pPr>
      <w:r>
        <w:t>Short Hypothesis</w:t>
      </w:r>
    </w:p>
    <w:p>
      <w:r>
        <w:t>A model pretrained on large-scale labeled synthetic coda-wave data and adapted to unlabeled experimental measurements via a self-supervised domain adaptation pipeline will improve per-class recall on real concrete damage classification by at least 10 percentage points compared to a model trained only on synthetic data.</w:t>
      </w:r>
    </w:p>
    <w:p>
      <w:r>
        <w:t xml:space="preserve"> </w:t>
      </w:r>
    </w:p>
    <w:p>
      <w:pPr>
        <w:pStyle w:val="Heading2"/>
      </w:pPr>
      <w:r>
        <w:t>Related Work</w:t>
      </w:r>
    </w:p>
    <w:p>
      <w:r>
        <w:t>Simulation-driven training has been used to supply labeled data when experiments are scarce, but models trained only on simulated waveforms often fail on real measurements due to domain gap (systematic differences between simulated and real data). Domain adaptation methods such as domain adversarial training (which learns features indistinguishable across domains) reduce this gap but can collapse class separability. Self-supervised learning approaches like BYOL (Bootstrap Your Own Latent, a representation learning method that uses augmented views without labels) produce robust embeddings but do not by themselves align class decisions across domains. Minimum Class Confusion loss (a technique that reduces ambiguous class assignments) helps disambiguate pseudo-labels but depends on reliable confidence estimates. Prior pipelines commonly lack: realistic large-scale synthetic coda-wave datasets that capture multiscale fracture physics, explicit physics-calibrated mappings from fracture toughness to observable signals, and strategies for rare critical-event oversampling. These limitations lead to poor calibration, under-representation of critical damage modes, and limited real-world deployment readiness.</w:t>
      </w:r>
    </w:p>
    <w:p>
      <w:r>
        <w:t xml:space="preserve"> </w:t>
      </w:r>
    </w:p>
    <w:p>
      <w:pPr>
        <w:pStyle w:val="Heading2"/>
      </w:pPr>
      <w:r>
        <w:t>Abstract</w:t>
      </w:r>
    </w:p>
    <w:p>
      <w:r>
        <w:t>We address the problem of transferring damage-classification knowledge from physics-based simulations to unlabeled experimental coda-wave measurements. Coda waves are complex scattered ultrasonic signals that carry cumulative information about micro- and macro-damage in concrete. We propose a self-supervised domain adaptation framework that leverages a virtual testing platform to generate large labeled synthetic coda-wave data across multiscale degradation scenarios and adapts pretrained models to unlabeled experimental pools using joint adversarial alignment, class-confusion minimization, and contrastive self-supervision (BYOL-style) for representation stability. The main contribution is an integrated pipeline combining physics-aware synthetic pretraining with reproducible DA procedures and explicit diagnostics for calibration and rare-event coverage. Expected outcomes are improved recall on safety-critical damage classes, better uncertainty calibration on experimental data, and a reproducible artifact suite (seeded containers, DVC pipelines, and ablation recipes) that demonstrates reduced dependence on experimental labels while enabling operational damage detection on real concrete specimens.</w:t>
      </w:r>
    </w:p>
    <w:p>
      <w:r>
        <w:t xml:space="preserve"> </w:t>
      </w:r>
    </w:p>
    <w:p>
      <w:pPr>
        <w:pStyle w:val="Heading2"/>
      </w:pPr>
      <w:r>
        <w:t>Experiments</w:t>
      </w:r>
    </w:p>
    <w:p>
      <w:r>
        <w:t>Datasets: 1) Synthetic dataset: 5,000 labeled 2D simulations and 200–500 labeled 3D simulations of ultrasonic/coda-wave propagation across multiscale concrete degradation; annotations: class labels (none, micro-crack, propagating crack, delamination, spalling), crack length and time-of-initiation. 2) Experimental pool: ~1,000 unlabeled multi-modal runs (AE events, ultrasonic traces, DIC/RGB frames) and a labeled holdout of 200–500 experimental runs for evaluation and limited fine-tuning. Baselines: A) supervised synthetic-only model; B) supervised small labeled-real model (trained on labeled holdout only); C) domain-adversarial adaptation (DANN) applied to synthetic-pretrained model; D) BYOL-pretrained model fine-tuned on labeled real. Proposed: combined SSDA pipeline with adversarial alignment + minimum class confusion + BYOL and pseudo-labeling (ensemble size 5, threshold 0.9). Evaluation metrics: per-class recall, precision, F1-score, mean IoU for segmentation masks where available, Expected Calibration Error (ECE), RMSE for crack-length estimates, A-distance domain discrepancy. Setup: seed-controlled runs in Docker/Singularity with DVC-tracked data; optimizer AdamW, pretrain epochs 200, batch sizes 256 (sim)/64 (real), lr=1e-3 with cosine decay. Cross-validation: 5-fold on labeled holdout; statistical tests: paired t-test α=0.05 and bootstrap 95% CI for metric differences. Ablations/Comparisons: 1) remove physics-consistency loss; 2) remove MCC loss; 3) remove BYOL contrastive term; 4) vary pseudo-label threshold [0.7,0.85,0.9]; 5) importance-sampling oversampling of rare high-Gc events vs uniform sampling. Report per-ablation metric deltas and compute budgets (GPU-hours) per experiment.</w:t>
      </w:r>
    </w:p>
    <w:p>
      <w:r>
        <w:t xml:space="preserve"> </w:t>
      </w:r>
    </w:p>
    <w:p>
      <w:pPr>
        <w:pStyle w:val="Heading2"/>
      </w:pPr>
      <w:r>
        <w:t>Risk Factors And Limitations</w:t>
      </w:r>
    </w:p>
    <w:p>
      <w:r>
        <w:t>Simulator-to-reality mismatch: constitutive or fracture models may not capture real damage morphology, causing systematic prediction errors. Sensor-model mismatch: experimental noise, coupling, and bandwidth differences can break alignment. Rare-event scarcity: critical damage modes may remain under-represented despite importance sampling. Physics-regularization bias: incorrect physics constraints can bias learned features away from empirical patterns. Computational cost: 3D simulations and large SSL/DA training require thousands of GPU/CPU hours and terabytes of storage. Reproducibility limits: floating-point nondeterminism and proprietary solver binaries can prevent perfect bitwise repeatability. Label quality: experimental ground-truth crack annotations may have inter-annotator variability, limiting achievable accuracy. Generalization bounds: trained models may not transfer to different concrete mixes, reinforcement patterns, or structural scales without additional calibration. Field deployment constraints: hardware synchronization failures, trigger loss, or missing modalities reduce effective performance. Legal/licensing: proprietary solver restrictions can limit artifact sharing and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