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ehps_adversarial_vuln</w:t>
      </w:r>
    </w:p>
    <w:p>
      <w:r>
        <w:t xml:space="preserve"> </w:t>
      </w:r>
    </w:p>
    <w:p>
      <w:pPr>
        <w:pStyle w:val="Heading2"/>
      </w:pPr>
      <w:r>
        <w:t>Title</w:t>
      </w:r>
    </w:p>
    <w:p>
      <w:r>
        <w:t>Adversarial perturbations to conditioning and latent controls reveal vulnerabilities in expressive human pose and shape estimation (EHPS) pipelines</w:t>
      </w:r>
    </w:p>
    <w:p>
      <w:r>
        <w:t xml:space="preserve"> </w:t>
      </w:r>
    </w:p>
    <w:p>
      <w:pPr>
        <w:pStyle w:val="Heading2"/>
      </w:pPr>
      <w:r>
        <w:t>Short Hypothesis</w:t>
      </w:r>
    </w:p>
    <w:p>
      <w:r>
        <w:t>Applying bounded adversarial perturbations to conditioning inputs or latent control vectors of EHPS models will cause a measurable increase in identity or pose degradation, defined as at least a 10 percentage‑point increase in attack success rate and an ArcFace cosine decrease of &gt;=0.25 relative to unperturbed baselines.</w:t>
      </w:r>
    </w:p>
    <w:p>
      <w:r>
        <w:t xml:space="preserve"> </w:t>
      </w:r>
    </w:p>
    <w:p>
      <w:pPr>
        <w:pStyle w:val="Heading2"/>
      </w:pPr>
      <w:r>
        <w:t>Related Work</w:t>
      </w:r>
    </w:p>
    <w:p>
      <w:r>
        <w:t>Prior work has demonstrated adversarial attacks on discriminative vision models and on image generators (GANs and diffusion models), and separate lines of research show defenses such as adversarial training, input sanitizers, and detectors. Other work has explored poisoning and backdoor attacks at low trigger rates and adapter/LoRA injection for model-level compromise. Limitations remain: most attacks target pixel or latent spaces of 2D image classifiers/generators rather than end-to-end EHPS pipelines that include pose, shape, rig controls, and neural rendering. Existing defenses are typically evaluated on image-quality metrics without human perceptual calibration, and identity metrics (e.g., face embeddings) are known to have demographic biases that are rarely audited. Reproducibility is weak in many prior studies due to missing frozen manifests, seeds, or published checklists, and few works systematically measure attack survival through production transforms (compression, color grading, re-capture) or across model families (diffusion vs GAN vs NeRF).</w:t>
      </w:r>
    </w:p>
    <w:p>
      <w:r>
        <w:t xml:space="preserve"> </w:t>
      </w:r>
    </w:p>
    <w:p>
      <w:pPr>
        <w:pStyle w:val="Heading2"/>
      </w:pPr>
      <w:r>
        <w:t>Abstract</w:t>
      </w:r>
    </w:p>
    <w:p>
      <w:r>
        <w:t>We study how adversarial attacks expose hidden vulnerabilities in expressive human pose and shape estimation (EHPS) pipelines that produce digital humans. We apply bounded perturbations to conditioning inputs and latent control vectors across diffusion, GAN, and neural-rendering EHPS models and quantify effects on identity, pose, and perceptual quality. Our approach combines white-box gradient attacks (PGD, AutoAttack) and black-box query-efficient attacks (NES, SPSA, Bandit-OPT), plus low-rate poisoning/backdoor injections at model and data levels. We map numerical perturbation budgets (L_inf, L2, LPIPS, audio SNR) to human perceptual thresholds via IRB‑approved pilots and pre-register primary endpoints and analysis plans. The main contribution is a reproducible v0 evaluation harness with a frozen manifest of baselines, canonical attack/defense configurations, and a metric suite that includes identity embeddings, landmark error, LPIPS, temporal coherence, and perceptual audio scores. Expected outcomes are (1) quantified EHPS failure modes under realistic budgets, (2) sensitivity analyses for thresholds, and (3) audit-ready artifacts that enable defensible comparisons across models while preserving embargoed exploit details.</w:t>
      </w:r>
    </w:p>
    <w:p>
      <w:r>
        <w:t xml:space="preserve"> </w:t>
      </w:r>
    </w:p>
    <w:p>
      <w:pPr>
        <w:pStyle w:val="Heading2"/>
      </w:pPr>
      <w:r>
        <w:t>Experiments</w:t>
      </w:r>
    </w:p>
    <w:p>
      <w:r>
        <w:t>Datasets and assets: frozen manifest of models and checkpoints: Stable Diffusion v1.5, Stable Diffusion XL 1.0, StyleGAN2-ADA FFHQ weights, EG3D (FFHQ-512), Instant-NGP human scenes, VITS audio checkpoints; v0 datasets include consented real face/body images and videos, rigged 3D morphable heads/bodies with PBR textures, and deterministic synthetic renders (seeded). Baselines: no-attack baseline (clean), white-box PGD on conditioning/latent (L_inf=8/255, step=2/255, 100 steps), AutoAttack suite (defaults), black-box NES (pop=50, sigma=1e-3, max queries=10k), SPSA (samples=128, lr=0.01, max queries=5k), Bandit-OPT; poisoning/backdoor: clean-label feature-collision and trigger-injection at rates {0.1%,0.5%,1.0%}, trigger sizes 5–20 px, LoRA/adapter diffs. Perturbation budgets: image L_inf={8/255,16/255}, L2={0.5,1.0}, LPIPS={0.08,0.15}, video per-frame L_inf=8/255 with temporal LPIPS&lt;=0.03, audio SNR&gt;=20 dB with PESQ delta&lt;=0.1. Metrics: Attack success rate (ASR) per goal, ArcFace cosine (identity embedding; higher means more similar), normalized landmark mean error (NME) for pose, LPIPS and FID/KID for perceptual quality, SSIM/PSNR, temporal LPIPS/tFID for video, PESQ/STOI/MOS and SNR for audio, query counts and ASR vs queries, false positive/negative rates for detectors. Statistical plan: preregister alpha=0.05, power=0.8, minimum detectable effect = 10 percentage points; report 95% CIs and Benjamini-Hochberg FDR correction; sequential monitoring with O’Brien-Fleming boundaries. Human perceptual pilot: IRB protocol, 2AFC detection and magnitude estimation, pilot N=200 per condition to map budgets to perceptual breakpoints. Experimental setup: deterministic seeds, Docker containers, manifest JSON, three-tier artifact hosting; run white-box attacks on conditioning and latent spaces, black-box attacks against deployed APIs or surrogate models, evaluate defenses (adversarial training, autoencoder denoiser + JPEG Q=90, ViT detectors) in adaptive red-team rounds (3 rounds). Ablation studies: (1) perturbation location: compare image-space vs latent-space vs rig/control-parameter perturbations; (2) budget sensitivity: vary numeric thresholds ±10% and ±20% to report robustness; (3) algorithm ablation: compare PGD vs AutoAttack vs NES vs SPSA on ASR and query efficiency; (4) defense ablation: evaluate each defense alone and in combination. Repro artifacts: publish frozen manifest, seeds, container images, and aggregated sanitized results; embargo exploit-ready parameters.</w:t>
      </w:r>
    </w:p>
    <w:p>
      <w:r>
        <w:t xml:space="preserve"> </w:t>
      </w:r>
    </w:p>
    <w:p>
      <w:pPr>
        <w:pStyle w:val="Heading2"/>
      </w:pPr>
      <w:r>
        <w:t>Risk Factors And Limitations</w:t>
      </w:r>
    </w:p>
    <w:p>
      <w:r>
        <w:t>Technical failure modes: attacks may not transfer across model families or may fail to produce perceptible changes after rendering and downstream transforms (compression, color grading, recapture). Evaluation metric limits: identity embeddings (e.g., ArcFace) can be biased by demographic factors and may not reflect human judgments; landmark detectors may fail for extreme poses. Data and bias risks: training and test sets may be imbalanced across age, gender, and skin tone causing misleading aggregate results. Reproducibility vs safety tension: full experimental detail can enable misuse; redaction will limit others' ability to exactly reproduce exploit behavior. Compute and scalability: NeRF and high‑fidelity rendering and large adaptive sweeps may exceed the baseline 1k–2k A100 hours and require additional cost and time. Logging and privacy: audit logs and attack traces can contain sensitive signals; secure immutable storage and retention policies are required but may limit open data release. Differential privacy tradeoffs: adding DP noise (e.g., epsilon≈1) reduces sensitivity but also degrades accuracy of published aggregates. Generalization limits: results on chosen checkpoints and synthetic assets may not generalize to future architectures, proprietary models, or real-world capture pipelines.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