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transvfc_framework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Transformable video feature compression for machine vision via codec-based inter-prediction and lightweight feature-space transforms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Compressing intermediate video features with a video-feature codec that applies scheme-based inter-prediction and perception-guided conditional coding, then mapping reconstructed features to tasks using small feature-space transform (FST) modules, will reduce bitrate by at least 50% while keeping downstream task performance within 5% absolute of models using uncompressed features, without retraining the upstream codec or task networks.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fall into three classes: (1) pixel-first video compression (standard codecs like HEVC) followed by retrained task heads, which preserves visual fidelity but requires heavy retraining and high bitrate; (2) end-to-end task-driven compression that jointly trains encoder and task model, which can be efficient but is task-specific and requires retraining for new tasks; (3) intermediate feature compression methods that quantize and entropy-code deep-network features and sometimes use simple adapters to transfer features to tasks. Entropy modeling has trended toward hyperprior side-channels and autoregressive or transformer contexts for better token probability estimates. Limitations: pixel-first methods are bandwidth-inefficient for machine tasks; joint task encoders lack transferability; prior intermediate feature compression often does not sufficiently exploit temporal redundancy (inter-prediction) or align spatial coding to machine perception, lacks progressive base/enhancement layering for graceful degradation, and uses high-latency autoregressive entropy models that hurt on-device decoding. Many works also omit bit-exact bitstream specs and reproducible measurement protocols, limiting deployability and fair comparison.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efficient transmission of video for machine analysis by proposing a transformable video feature compression framework. The method compresses intermediate video features using a video-feature codec that reduces temporal redundancy via scheme-based inter-prediction and reduces spatial redundancy with perception-guided conditional coding (i.e., prioritize information important to machine tasks). Reconstructed features are mapped to specific downstream tasks by lightweight feature-space transform (FST) modules, so new tasks require only small adapter training rather than retraining the codec or task networks. The main contribution is a practical compress-then-transfer pipeline that supports progressive base/enhancement tokens, a hybrid entropy model prototype (hyperprior plus local context), and a reproducibility-first evaluation plan. We expect the framework to substantially lower bits/frame for common machine tasks while preserving task metrics and enabling fast task addition through small adapters, improving bandwidth efficiency and deployment flexibility for edge inference.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action classification — Kinetics-400 and Something-Something V2; spatio-temporal detection — AVA; segmentation — DAVIS and YouTube-VOS; multi-object tracking — MOTChallenge and BDD100K-tracking; domain-shift and synthetic stress — CARLA or BlenderProc sequences. Baselines: (A) pixel-first HEVC-encoded video with retrained task heads at matched bits/frame; (B) compressed intermediate features from fixed pretrained backbone layers (quantize+entropy) with direct task heads; (C) shared-backbone with task-specific heads trained from scratch; (D) uncompressed feature upper-bound (no compression). Metrics: bits/frame (B = tokens/frame × bits/token), task metrics per task (classification accuracy, detection mAP, segmentation mIoU, tracking MOTA/MOTP), latency ms/frame (encode+decode+inference), peak RAM, energy mJ/frame, and robustness metrics (absolute task drop under token-dropout and bit-error-rate). Experimental setup: implement a bit-exact integer range coder and header (magic, version, token_count, codebook_id, entropy_model_id, bitrate_target, adapter_config_hash, CRC32). Use the deterministic 36-cell experimental matrix with parameters token_count∈{32,64,128}, codebook_size∈{16,64,256}, base:enhancement∈{1:0,1:2,1:4}, adapter_type∈{MLP,cross-attention,hypernetwork}, multi-rate∈{on,off}. Entropy-model ablations: hyperprior-only, hyperprior+masked-autoregressive (AR), local-window transformer; measure FLOPs (explicitly count MACs and matmul/conv ops), peak RAM, and wall-clock latency on Raspberry Pi 4, a Snapdragon-class SoC, and Jetson Orin. Training and evaluation: prototype runs use 40 held-out clips per cell × 3 random seeds; final reporting uses 100 clips per cell × 5 seeds; report 95% bootstrap confidence intervals over clips; use paired statistical tests for within-clip comparisons and ANOVA for multi-factor analysis with Bonferroni correction; report effect sizes (Cohen's d). Ablations: (1) remove perception-guided conditional coding (replace with standard spatial quantization) to measure task-alignment effect; (2) remove FST adapters and use decoded features directly to measure adapter benefit; (3) vary base/enh ratios to evaluate progressive decoding; (4) compare entropy models to quantify latency vs bitrate tradeoffs. Robustness tests: token-dropout {5%,10%,25%,50%} (random and burst modes), bit-flip BER {1e-6,1e-5,1e-4,1e-3}, and missing enhancement layers; report absolute task-metric drops and RDT curves (bitrate vs task metric). Reproducibility: publish code, profiling scripts with exact command lines and compiler flags, raw logs, config-hashes, example bitstreams, and trained checkpoints.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entropy models with autoregressive components may introduce unacceptable decode latency on CPU-only devices; perception-guided coding may overfit to training tasks and omit content needed by unseen tasks. Data and evaluation biases: datasets may not cover real-world camera viewpoints, lighting, or sensor noise, causing domain-shift failures. Scalability and compute limits: training multi-task multi-rate models and running local-window or AR entropy models can require large compute and memory budgets, limiting practicality for large codebook sizes or high token counts. Generalization limits: small FST adapters may not fully recover task performance for tasks with very different feature requirements (e.g., fine-grained segmentation from coarse semantics). Bitstream issues: incorrect specification (endianness, field sizes, version rules) or implementation bugs can break decoding interop. Annotation and cost constraints: high-quality dense annotations are expensive and may limit dataset scale and statistical power. Robustness bounds: token-dropout and bit-flip thresholds may not hold under bursty network losses or adversarial tampering. Energy constraints: reduced bits/frame does not guarantee lower energy per frame on all devices because of decoder or adapter compute overhead.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