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region_aware_spatial_robustness</w:t>
      </w:r>
    </w:p>
    <w:p>
      <w:r>
        <w:t xml:space="preserve"> </w:t>
      </w:r>
    </w:p>
    <w:p>
      <w:pPr>
        <w:pStyle w:val="Heading2"/>
      </w:pPr>
      <w:r>
        <w:t>Title</w:t>
      </w:r>
    </w:p>
    <w:p>
      <w:r>
        <w:t>Region-aware evaluation and multi-attack benchmarking of semantic segmentation under localized natural and adversarial corruptions</w:t>
      </w:r>
    </w:p>
    <w:p>
      <w:r>
        <w:t xml:space="preserve"> </w:t>
      </w:r>
    </w:p>
    <w:p>
      <w:pPr>
        <w:pStyle w:val="Heading2"/>
      </w:pPr>
      <w:r>
        <w:t>Short Hypothesis</w:t>
      </w:r>
    </w:p>
    <w:p>
      <w:r>
        <w:t>Using region-aware metrics and a region-aware multi-attack evaluation framework will expose significantly larger worst-case performance degradations in semantic segmentation models under localized corruptions than standard global robustness metrics.</w:t>
      </w:r>
    </w:p>
    <w:p>
      <w:r>
        <w:t xml:space="preserve"> </w:t>
      </w:r>
    </w:p>
    <w:p>
      <w:pPr>
        <w:pStyle w:val="Heading2"/>
      </w:pPr>
      <w:r>
        <w:t>Related Work</w:t>
      </w:r>
    </w:p>
    <w:p>
      <w:r>
        <w:t>Prior work created corruption benchmarks and adversarial-attack evaluations for image classification and some dense tasks. Common approaches include global corruption suites (which apply noise or blur across the whole image) and focused adversarial patches or physical attacks that place a single visible patch. Some works provide certified robustness under global perturbations (randomized smoothing) or propose per-image metrics like mean IoU. Limitations: (1) most benchmarks use global metrics that average over entire images and miss spatially localized failures; (2) adversarial patch studies often report transferability and success rates but not region-wise worst-case impact; (3) certified methods target global norms and are not adapted to localized or region-constrained threats; (4) perceptual plausibility of perturbation budgets is often assumed rather than experimentally validated. These gaps leave unresolved how dense predictors fail locally under realistic natural occlusions and adversarial localized attacks and how to aggregate region-level risk into actionable benchmarks.</w:t>
      </w:r>
    </w:p>
    <w:p>
      <w:r>
        <w:t xml:space="preserve"> </w:t>
      </w:r>
    </w:p>
    <w:p>
      <w:pPr>
        <w:pStyle w:val="Heading2"/>
      </w:pPr>
      <w:r>
        <w:t>Abstract</w:t>
      </w:r>
    </w:p>
    <w:p>
      <w:r>
        <w:t>We introduce a region-aware benchmarking framework to measure spatial robustness of semantic segmentation models under both natural localized corruptions (e.g., occluders, stains) and adversarial localized attacks (e.g., optimized patches). The approach defines region-aware metrics that quantify per-region degradation, worst-case regional drops, and a Social Robustness Score that aggregates family- and severity-weighted region impacts. We also propose a region-aware multi-attack analysis that searches for the worst-case corruption across image regions using constrained threat budgets (area, opacity, Lp). The main contribution is a reproducible evaluation suite: standardized threat budgets, unit-tested metric library, human perceptual plausibility scoring, and an attack orchestration protocol for white-box and black-box settings. Expected outcome: clearer identification of spatial failure modes, a measurable gap between global and region-wise robustness, and benchmark artifacts that allow fair comparisons and stress testing of defenses in safety-critical dense vision tasks.</w:t>
      </w:r>
    </w:p>
    <w:p>
      <w:r>
        <w:t xml:space="preserve"> </w:t>
      </w:r>
    </w:p>
    <w:p>
      <w:pPr>
        <w:pStyle w:val="Heading2"/>
      </w:pPr>
      <w:r>
        <w:t>Experiments</w:t>
      </w:r>
    </w:p>
    <w:p>
      <w:r>
        <w:t>Datasets: Cityscapes (urban driving), ADE20K (diverse scenes), and a 100-image demo subset for rapid tests. Use pilot N=1,000 images and full benchmark N≈50,000 images aggregated across sources. Baselines: DeepLabv3+ResNet-50 (CNN), SegFormer or ViT-Base segmentation (transformer backbone), EfficientNet-based segmentation; certified baseline: randomized smoothing adapted for regional certificates. Natural localized corruptions: occluders, stains, local blur, localized lighting shifts applied with controlled masks. Adversarial localized attacks: white-box gradient-based patch optimization constrained to polygon mask (budget Amax ∈ {0.01,0.05,0.10} of image area, opacity αmax ∈ {0.5,1.0}, L∞ ∈ {4/255,8/255}), black-box NES/queries with budgets {500,2000,10000}, and transfer attacks from three surrogate models. Evaluation metrics: AUDC (area under degradation curve across severities), SRS (weighted aggregate robustness score), region-wise IoU drop (IoU = intersection-over-union for masks), Worst-Case Degradation (WCD) per-region, region-wise ECE (expected calibration error), and PAS (Perceptual Plausibility Score from human raters; recruit 200 raters, 5 ratings/image). Setup: fixed random seeds, containerized runs, 3 training/eval seeds for stochastic methods, paired bootstrap for confidence intervals, mixed-effects models (fixed: corruption type, severity; random: image, scene) for hypothesis testing, and McNemar tests for paired binary outcomes. Ablations: (1) vary Amax to measure sensitivity to occluder size; (2) compare natural vs adversarial localized corruptions; (3) compare architectures (CNN vs transformer); (4) assess effect of region-aware vs global aggregation on ranking of models. Report per-region heatmaps, aggregate AUDC/SRS, PAS distributions, transferability index (fraction of surrogate attacks that succeed on target), and runtime/query cost tables.</w:t>
      </w:r>
    </w:p>
    <w:p>
      <w:r>
        <w:t xml:space="preserve"> </w:t>
      </w:r>
    </w:p>
    <w:p>
      <w:pPr>
        <w:pStyle w:val="Heading2"/>
      </w:pPr>
      <w:r>
        <w:t>Risk Factors And Limitations</w:t>
      </w:r>
    </w:p>
    <w:p>
      <w:r>
        <w:t>Technical failure modes: attack optimization may converge to visually implausible patches unless perceptual constraints are enforced; randomized smoothing adaptations for regions may yield weak certificates or require many samples (compute heavy). Data and evaluation biases: annotated regions and object classes may be imbalanced, causing aggregated metrics to overweight common regions; PAS human ratings can be subjective and require careful qualification to be reliable. Scalability and compute: exhaustive region-aware multi-attack search is computationally expensive at large scale and may require budgeted heuristics; black-box query budgets imply monetary cost for cloud evaluation. Generalization limits: findings on urban (Cityscapes) or curated datasets may not transfer to other domains (medical, aerial) without new corruptions and threat calibrations. Measurement limits: AUDC normalized by clean accuracy can be unstable when clean accuracy a0 ≈ 0; region definitions (how regions are delimited) affect measured worst-case values.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