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choquet_subset_weighting</w:t>
      </w:r>
    </w:p>
    <w:p>
      <w:r>
        <w:t xml:space="preserve"> </w:t>
      </w:r>
    </w:p>
    <w:p>
      <w:pPr>
        <w:pStyle w:val="Heading2"/>
      </w:pPr>
      <w:r>
        <w:t>Title</w:t>
      </w:r>
    </w:p>
    <w:p>
      <w:r>
        <w:t>Choquet-integral-based feature-subset weighting for distance-based supervised learning</w:t>
      </w:r>
    </w:p>
    <w:p>
      <w:r>
        <w:t xml:space="preserve"> </w:t>
      </w:r>
    </w:p>
    <w:p>
      <w:pPr>
        <w:pStyle w:val="Heading2"/>
      </w:pPr>
      <w:r>
        <w:t>Short Hypothesis</w:t>
      </w:r>
    </w:p>
    <w:p>
      <w:r>
        <w:t>Learning a monotone capacity that weights feature subsets and using the Choquet integral to aggregate per-feature dissimilarities will reduce k-nearest-neighbour classification error on datasets with interacting or strongly correlated features compared to (i) per-feature weighted L2 distances and (ii) Mahalanobis metric learning, given comparable training sample size.</w:t>
      </w:r>
    </w:p>
    <w:p>
      <w:r>
        <w:t xml:space="preserve"> </w:t>
      </w:r>
    </w:p>
    <w:p>
      <w:pPr>
        <w:pStyle w:val="Heading2"/>
      </w:pPr>
      <w:r>
        <w:t>Related Work</w:t>
      </w:r>
    </w:p>
    <w:p>
      <w:r>
        <w:t>Existing distance and metric methods include simple per-feature weighting (scalar weights per feature), Mahalanobis-family metric learning (which learns a global linear transform), and kernelized distances. These methods often assume linear separability or independent feature contributions and therefore cannot model higher-order interactions among feature groups. Separately, Choquet integrals and monotone capacities (also called fuzzy measures) have been used for aggregation and to capture interactions, but full-capacity learning is exponential in the number of features and is therefore not scalable. Prior k-additive or sparse-capacity approaches reduce parameters but leave open practical projection/feasibility, identifiability, and evaluation protocols; existing metric-learning baselines rarely address robustness to duplicate or strongly correlated features. In summary, prior work either lacks interaction modeling (standard metrics) or faces exponential parameterization and scalability/identifiability issues (full-capacity Choquet learning).</w:t>
      </w:r>
    </w:p>
    <w:p>
      <w:r>
        <w:t xml:space="preserve"> </w:t>
      </w:r>
    </w:p>
    <w:p>
      <w:pPr>
        <w:pStyle w:val="Heading2"/>
      </w:pPr>
      <w:r>
        <w:t>Abstract</w:t>
      </w:r>
    </w:p>
    <w:p>
      <w:r>
        <w:t>We address the problem of learning distance functions for distance-based supervised learning (for example k-NN) that capture interactions among features and remain robust to duplicated or strongly correlated attributes. We propose to define symmetric distances by aggregating per-feature dissimilarities with a Choquet integral (a weighted aggregation that can model interactions) parameterized by a monotone capacity (a non-decreasing set function). To make learning feasible we (a) use compact parameterizations: k-additive Möbius coefficients or a basis-capacity factorization (a convex mixture of small-support capacities), (b) enforce monotonicity and normalization via projection steps embedded in an ADMM-based solver with a QP projection fallback and active-set constraint generation, and (c) supply identifiability rules and synthetic generators for controlled evaluation. The main contributions are a scalable, interaction-aware distance family, an optimization recipe that enforces capacity constraints efficiently, and an empirical protocol for identifiability and uncertainty quantification. We expect improved classification performance where feature interactions matter, interpretable subset-importance indices, and practical trade-offs between expressivity and computational cost.</w:t>
      </w:r>
    </w:p>
    <w:p>
      <w:r>
        <w:t xml:space="preserve"> </w:t>
      </w:r>
    </w:p>
    <w:p>
      <w:pPr>
        <w:pStyle w:val="Heading2"/>
      </w:pPr>
      <w:r>
        <w:t>Experiments</w:t>
      </w:r>
    </w:p>
    <w:p>
      <w:r>
        <w:t>Datasets: 1) Synthetic controlled datasets: n ∈ {10,20,30}, generate ground-truth Möbius coefficients with tunable singleton/pair interactions, SNR ∈ {0.5,1,2}; include variants with duplicated or highly correlated features. 2) UCI/Weka benchmarks: Wine, Breast Cancer Wisconsin (binary), Pendigits, Letter Recognition (multi-class). 3) One larger tabular set with moderate dimensionality (e.g., Covertype) to test scaling. Baselines: (A) Euclidean distance, (B) per-feature weighted L2 with cross-validated weights, (C) Mahalanobis metric learning (LMNN or ITML), (D) kernelized k-NN, (E) Choquet singleton-only weights (no interactions). Proposed variants: full k-additive (k∈{1,2,3} where feasible), basis-capacity factorization with R∈{2,5,10} bases, and constraint-generation vs full-projection. Metrics: classification accuracy (and AUC for binary), parameter-recovery normalized L2 error (synthetic), support F1 (recovered nonzero subset coefficients), mean training time per epoch, peak RAM, and 95% bootstrap confidence intervals (200 resamples) for key coefficients. Setup: 5-fold stratified cross-validation; fixed random seeds; for each fold train with M sampled pairs/triplets and evaluate k-NN (k=3,5). Hyperparameters: L2 ridge α ∈ {1e-3,1e-2,1e-1}, L1 λ ∈ {1e-4,1e-3,1e-2}, ADMM ρ0=1.0 with adaptive ρ (μ=10, τ=2), stopping eps_abs=1e-4 eps_rel=1e-3. Repeats: 10 randomized trials per cell. Ablations: (i) compare k-additive vs basis-capacity at equal parameter budgets; (ii) compare full constraint projection vs active-set constraint generation; (iii) vary M/p ratios ∈ {1,2,5,10} to test identifiability; (iv) measure effect of added duplicated features on baseline vs Choquet models.</w:t>
      </w:r>
    </w:p>
    <w:p>
      <w:r>
        <w:t xml:space="preserve"> </w:t>
      </w:r>
    </w:p>
    <w:p>
      <w:pPr>
        <w:pStyle w:val="Heading2"/>
      </w:pPr>
      <w:r>
        <w:t>Risk Factors And Limitations</w:t>
      </w:r>
    </w:p>
    <w:p>
      <w:r>
        <w:t>1) Nonconvex alternation: basis-capacity alternation is nonconvex and can converge to local minima or cycle; results may depend on initialization and restarts. 2) Identifiability: when the number of learned parameters p exceeds effective sample information (M small relative to p) coefficients are not identifiable; parameter recovery will fail and overfitting can occur. 3) Computational cost: exact QP projection worst-case scales cubically in p and can be memory-heavy (design matrix O(M·p)); large n/k or large M may be infeasible without parameter compression. 4) Numerical conditioning: mapping between Möbius and capacity representations (T matrix) and ill-conditioned design matrices can cause unstable solves and large solver tolerances. 5) Sensitivity to scaling: improper scaling of per-feature dissimilarities can bias the learned capacity; results rely on robust preprocessing. 6) Limited generalization: learned subset weights reflect training dissimilarity distributions and may not generalize to radically different test regimes or nonstationary data. 7) Evaluation bias: synthetic generators may not capture all real-world interaction patterns, and UCI benchmarks may under-represent complex feature interactions.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