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super_net_uncertainty_propagation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Super-Net: Bayesian mean-and-covariance uncertainty propagation via Taylor-series approximations for trustworthy encoder-decoder image segmentation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Propagating posterior mean and covariance through encoder-decoder networks using Taylor-series moment-matching with low-cost covariance extensions and an adaptive MC switching policy reduces pixel-wise expected calibration error (ECE) and improves selective-prediction reliability compared to diagonal-only analytic propagation under noisy and out-of-distribution inputs.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in uncertainty-aware segmentation includes Monte Carlo sampling methods (ensembles, MC dropout) that estimate uncertainty by repeated forward passes, last-layer Bayesian heads that model output uncertainty locally, evidential and learned-uncertainty heads, and analytic moment-matching or unscented transforms that propagate moments without sampling. Existing covariance approximations often assume channel- or spatial-diagonal variances for efficiency. Limitations: sampling-based methods are costly at inference and training time; diagonal assumptions ignore cross-channel and spatial correlations leading to miscalibrated uncertainty; few methods provide per-layer diagnostics or adaptive policies to trade compute for fidelity; and reproducible synthetic probes linking covariance structure (off-diagonal mass and kurtosis) to calibration are scarce. Efficient, budgeted switching between analytic and sampling propagation and structured covariance extensions (low-rank, block-diagonal, Kronecker) are under-explored for encoder-decoder segmentation.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trustworthy image segmentation by developing Super-Net, a Bayesian framework that propagates posterior mean and covariance through encoder-decoder networks using Taylor-series moment-matching. The method produces both a segmented image and a pixel-wise uncertainty map without relying solely on costly Monte Carlo sampling. When diagonal propagation assumptions fail, Super-Net supports three structured covariance extensions—low-rank correction, block-diagonal blocks, and Kronecker separable spatial×channel factors—and a lightweight learned adapter that corrects diagonal variance. We introduce an adaptive switching policy that triggers targeted MC sampling when measurable statistics (off-diagonal Frobenius ratio, channel kurtosis, or quick KL proxies) indicate analytic bias, while enforcing hysteresis, cooldown, and a per-epoch MC budget. Contributions: (1) an analytic propagation pipeline that carries mean and covariance through nonlinear layers, (2) practical structured covariance variants and a switching policy to balance cost and fidelity, and (3) a reproducible probe suite and diagnostics (per-layer KL, ECE, NLL, mIoU) to validate calibration and runtime trade-offs. Expected outcome: more reliable pixel-wise uncertainty estimates and cost-aware calibration improvements under noise and OOD conditions.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compact benchmark of 200 labeled images (diverse scenes) for covariance ablations; (B) 100-image holdout set for per-layer analytic vs MC probes; (C) corruption/OOD suite: motion blur, noise, contrast shifts, defocus, occlusion, three severity levels, 100 images per severity. Baselines: diagonal-analytic propagation; low-rank correction (r in {4,8,16}); block-diagonal (block sizes b in {8,16,32}); Kronecker/separable factorization; learned 1x1 adapter correction; unscented transform; MC propagation (full MC sampling); ensembles (5 models); MC-dropout; evidential head; temperature scaling. Metrics: pixel-wise ECE (expected calibration error; measures confidence vs accuracy), NLL (negative log-likelihood), Brier score, mIoU (mean intersection-over-union), per-layer KL between analytic and MC posterior (KL(N(mu_a,var_a)||N(mu_mc,var_mc))), AUROC for OOD detection, selective-prediction coverage vs risk curves, wall-clock time, peak GPU memory. Setup: seeds={global_seed + run_id}, runs per config=5 seeds, bootstrap CIs with B=1000 resamples, multiple-comparison control via Benjamini–Hochberg FDR α=0.05. Numerical defaults (pre-registered): var_floor=1e-6, softplus clamp logvar∈[-20,+10], MC samples: training=5, validation=20, final eval=50; switching thresholds: R=||Cov_off||_F/||Cov_diag||_F &gt; 0.1, kurtosis_max&gt;5, KL_proxy&gt;threshold; hysteresis=2 batches, cooldown=100 iterations, per-epoch MC budget equal to 5×training_batch_count. Ablations: (1) diag vs low-rank vs block vs Kronecker on mIoU/ECE/NLL and per-layer KL; (2) switching policies: always-analytic, always-MC, thresholded switching, and contextual bandit variants (greedy vs UCB) evaluated under fixed budget; (3) synthetic probes: Frobenius sweep R∈{0.01,0.05,0.1,0.2} and kurtosis sweep (Gaussian+t mixtures) measuring mapping R,kurtosis→ΔECE and variance error. Reporting: per-run logs include per-layer mu,var,kurtosis,R,KL, timing, memory; publish configs and toy PyTorch reference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diagonal or structured approximations may miss important cross-block correlations leading to miscalibrated uncertainties; Taylor-series linearization can fail for strong nonlinearity (e.g., ReLU activations around zero) or heavy-tailed features. Data and annotation biases: limited or inconsistent annotations (high label entropy) can confound aleatoric vs epistemic decomposition and inflate ECE. Switching policy risks: noisy pilot estimates of marginal gain g_i may misallocate MC budget, causing under‑ or over-sampling; nonstationary data streams break static budgets. Training stability: early MC sampling can increase gradient variance and destabilize convergence. Scalability limits: structured covariance methods (block or low-rank) increase memory and compute and may not scale to very high-resolution feature maps without approximations. Generalization limits: thresholds (R=0.1, kurtosis&gt;5) and hyperparameters may not transfer across datasets or architectures. Human-in-the-loop constraints: clinician review time estimates may be optimistic and introduce operational bottlenecks. Evaluation limits: synthetic probes may not capture all real-world OOD modes, and per-layer KL against MC assumes MC is a reliable ground truth given finite samples.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