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Locomamba: end-to-end vision-driven quadrupedal locomotion using selective state-space MAMBA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proprioception and patchified depth into a selective state-space MAMBA backbone and training end-to-end with PPO reduces sample complexity by at least 2× and decreases zero-shot sim-to-real intervention rate by at least 50% compared to strong baselines on the same locomotion tasks.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vision-driven locomotion approaches split into model-free image-augmented policies and model-based latent-dynamics methods. Model-free methods (image augmentations, data-driven SAC/PPO variants) learn directly from pixels but typically need large sample counts and are sensitive to appearance shifts. Model-based latent methods (latent dynamics with imagination, e.g., world-model-style agents) improve sample efficiency by learning dynamics in a compact latent space but often rely on dense recurrent or attention-based fusion that scales poorly with token length, has limited horizon, or produces poorly calibrated uncertainty. Cross-modal fusion prior work uses attention or concatenation to combine proprioception and vision but can be appearance-sensitive and latency-heavy. Ensembles and epistemic uncertainty approaches improve safety but increase compute roughly linearly with ensemble size and are rarely tuned with a reproducible calibration protocol. Domain randomization and system identification help sim-to-real transfer but are limited by identifiability of dynamics under typical excitation and by ad-hoc DR ranges. Open issues: scalable, low-latency cross-modal fusion with calibrated uncertainty; principled Q90-style gating from ensemble disagreement to failure probability; reproducible sim-to-real pipelines with pre-registered statistical power and SI excitation protocols.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Locomamba, an end-to-end vision-driven framework that fuses proprioceptive states and depth images using MAMBA, a selective state-space model, as a cross-modal backbone for quadrupedal locomotion. Proprioception is embedded by a small MLP and depth images are patchified by a CNN into spatial tokens that MAMBA scans selectively, enabling long-horizon latent prediction with near-linear time and memory growth. The stacked MAMBA layers produce calibrated ensemble disagreement (predictive mutual information) used to gate planning and trigger conservative fallbacks. The policy head is trained end-to-end with PPO on MAMBA-fused features together with terrain and appearance randomization and an obstacle-density curriculum. The main contribution is a reproducible pipeline that combines selective state-space fusion, calibrated ensemble uncertainty (Q90), and an explicit sim-to-real protocol to jointly improve sample efficiency, foresight (short look-ahead), and robust zero-shot transfer from simulation to hardware. Expected outcomes are reduced training steps to target returns and lower intervention rates in hardware trials compared to representative model-free and model-based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Environments: three standardized tasks in simulation: (T1) flat velocity-tracking corridor (0–1.0 m/s target across 100 m), (T2) uneven terrain with height variance ±10 cm, (T3) visual-distractor corridor with lighting changes and occlusions. Simulation engine and robot model: fixed physics binary and robot URDF used across all runs; artifacts versioned. Training setup: end-to-end PPO on MAMBA features; total_env_steps = 2e6 per full run; checkpoint every 10k env steps; batch_size=512; use domain randomization (visual and dynamics) and obstacle-density curriculum as described. Baselines: (B1) DrQv2 + SAC (image-augmented model-free), (B2) DreamerV3 (latent model-based), (B3) MBPO (model-based with imagined rollouts), (B4) proprio-only PPO (no vision). Metrics: area under return curve to reach pre-specified target R (AUC-to-R), steps-to-R, median return over evaluation episodes, energy-per-meter (J/m), intervention rate (hardware resets per meter), stability variance (COM height variance), and Q90 failure-mapping quality (calibrated mapping quality). Statistical protocol: pilot sweep n=3 seeds per config to estimate SDs; select top candidates then run n=10 independent seeds for final claims; report median and 95% bootstrap CI; test significance with Wilcoxon rank-sum (α=0.05). Reproducibility: fixed seeds, Docker, checkpoint metadata include git hash and RNG states. Q90 / ensemble disagreement: ensemble_size=5, latent_dim=128 (visual+proprio fused latent), imagination_rollout_length L=3; compute per-timestep predictive mutual information (PMI) over the L-step imagined rollouts, aggregate per rollout by taking the 90th percentile across timesteps (rollout_Q90). Q90→failure calibration: collect labeled rollout outcomes (success/failure) across varied DR and perturbations; use bootstrap (10,000 resamples) to compute 95% CI of failure probability in Q90 bins; require ≈400 failure samples per bin to estimate failure probability within ±5% at 95% confidence, yielding an expected calibration dataset of 2,000–4,000 rollouts. Ablations: (A1) ensemble size {1,5,10} to measure calibration stability and compute cost; (A2) latent_dim {64,128,256}; (A3) encoder {ResNet18 conv4 (512-d) vs MobileNetV2 128-d}; (A4) rollout_length {1,3,6}; (A5) training with vs without depth patchification. Acceptance criteria: publishable claim requires ≥2× sample efficiency (AUC-to-R) vs a chosen baseline on a task with p&lt;0.05 and effect size consistent with claim. Hardware evaluation: HIL ramp protocol (10%→30%→60%→100% command scale) with safety envelopes; measure energy-per-meter and intervention rate over ≥10 runs; latency measurement harness: synchronized camera-exposure GPIO trigger and oscilloscope capture over 1000 trials, report median, 95th, and max with bootstrap CIs. Compute: baseline runs on A100 (single GPU) as target; report GPU-hours and energy per full run.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prolonged ensemble disagreement leading to frequent fallbacks, poor identifiability of dynamics parameters (mass/inertia/friction) under limited excitation, unmodeled contact dynamics causing sim mismatch. Data and evaluation biases: DR ranges may not cover real-world appearance or rare terrain features; pilot n=3 variance estimates may under- or over-state true variability. Scalability and compute: ensemble inference and ResNet-style encoders increase latency and GPU memory; edge deployment may require reduced encoders at cost to accuracy. Latent and calibration limits: PMI/Q90 calibration requires hundreds–thousands of labeled failures per bin which is expensive to collect; calibration may not generalize to out-of-distribution environment shifts. Generalization limits: policies trained with depth+proprioception may still fail under extreme sensor dropout (camera failure) or hardware faults; transfer acceptance thresholds (e.g., ≤20% zero-shot return drop) may not hold for radically different robots or terrains. Safety limits: HIL ramp and harness tests reduce risk but cannot eliminate all failure modes; worst-case mechanical damage remains a possibility during early hardware trials. Human factors: operator response time and decision audits add procedural overhead and can become bottlenecks during aggressive testing schedules.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