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mce_missing_modalities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Modality Capability Enhancement (MCE) for handling missing modalities under imbalanced missing rates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a multimodal predictor on per-modality missing-rate embeddings and sample-level reliability vectors while applying dynamic learning-capability balancing (LCE) and representation-capability tasks (RCE) will improve predictive accuracy and calibration under imbalanced missing modalities versus standard fusion and imputation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multimodal learning methods address missing modalities by simple fusion rules, fixed imputation, or by assuming missingness at random (MAR). Common baselines include concatenation with zero/learned placeholders, deterministic imputers (mean, kNN), conditional generative imputers (VAEs, diffusion) and mixture-of-experts (MoE) routing for modality selection. Limitations: (1) many methods assume balanced or random missing patterns and degrade when missing rates are imbalanced across modalities; (2) few methods condition explicitly on sample-level missing-rate statistics, so they cannot adapt learning speed per modality; (3) uncertainty and subgroup calibration after imputation are underreported; (4) MoE routing often collapses without explicit load or entropy regularizers; (5) reproducibility and standardized MNAR (missing-not-at-random) stress tests are lacking. These gaps hamper robust deployment where modalities fail unevenly or non-randomly.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Modality Capability Enhancement (MCE), a modular framework to improve multimodal prediction when modalities are missing at imbalanced rates. MCE has two parts: Learning Capability Enhancement (LCE) dynamically balances per-modality learning progress using sample-level missing-rate embeddings and gated routing, and Representation Capability Enhancement (RCE) strengthens feature semantics via subset-prediction and cross-modal completion tasks (imputing missing views). The design includes a Missingness-Aware Conditioning (MAC) module that inputs per-modality missing-rate scalars and reliability vectors, and a Missingness-Aware Gate (MAG) that sparsely fuses modalities via gated cross-attention and MoE routing with load/entropy regularizers. We pair MCE with seeded MNAR generator families (label-, content-, and history-dependent) and conservative imputation decision rules based on Monte Carlo uncertainty and subgroup calibration tests. Main contributions: (1) a practical MCE architecture for imbalanced missingness, (2) standardized MNAR stress tests and diagnostics, and (3) pre-registered experiments and reproducible tooling. Expected outcome: improved accuracy, calibrated uncertainty, and stronger robustness to realistic, imbalanced missing modalities.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one representative dataset per domain: (A) clinical: MIMIC-CXR combined with vitals/text reports (image + time-series + text), (B) audiovisual: AVSpeech or HowTo100M subset (video frames + audio + transcripts), (C) IoT/sensor: UCI HAR or public sensor dataset (multiple sensor streams + logs). Missingness generators: implement three MNAR families per modality with seedable params and three regimes: mild/moderate/extreme: label-dependent P(R=1|y)=σ(a y + b) with a∈{0.2,0.7,2.0}; content-dependent P(R=1|s)=σ(β s + γ) with β∈{0.2,0.7,2.0}; history-dependent P(R_t=1|R_{t-1}) with ρ∈{0.2,0.7,0.95}. Baselines: (1) concat fusion with zero/learned placeholders, (2) modality dropout training, (3) deterministic imputers (mean, kNN), (4) conditional VAE imputer, (5) diffusion-based imputer, (6) MoE vs shared fusion without MAG, (7) MAG off/on, (8) MAC off/on. Metrics: AUROC (binary), balanced accuracy or macro-F1 (multiclass), RMSE (regression), Expected Calibration Error (ECE; measures calibration), Negative Log-Likelihood (NLL), Missingness Bias Index (MBI = max_group |P̂(Y|missing) − P̂(Y|full)|), routing entropy (H), expert-load variance, imputation MSE for numeric and FID/LPIPS for images. Experimental setup: core factorial = {MAC on/off}×{MAG vs concat}×{MoE vs shared}×{Imputer none/simple/generative} = 24 configs × 3 regimes × 3 datasets; pilot runs: 10 seeds per config (2,160 runs) to identify top candidates; final runs: top-3 configs × 30 seeds for statistical power. Ablations: number of MC imputations M∈{1,5,20,50}; imputer class (VAE, diffusion, deterministic); MoE regularizers λ_load∈{0,0.01,0.05,0.1}, λ_ent∈{0,0.001,0.01}, routing top-k∈{1,2,4}; MAC token strategies: hard-zero+stop-grad, learned placeholder, soft-mask confidence scaling. Validation details: per-batch p̂ update p̂←0.99 p̂ +0.01 mean(R); conservative imputation decision uses MC predictive variance threshold τ_unc and subgroup KS-test p&gt;0.05; fixed random seeds and container tag recorded for reproducibility; report paired bootstrap CIs and Holm-Bonferroni corrected tests for primary endpoints (AUROC and ECE). Include a 1-GPU demo configuration (N=1,024, d=64) for quick end-to-end verification.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Non-identifiability: when missingness depends on unobserved content without a correlated proxy, conditional distributions are not identifiable and imputers can induce bias. Imputer misspecification: generative imputers (VAE/diffusion) may produce overconfident or biased samples under strong MNAR. MoE collapse: routing can degenerate (one expert dominates) causing poor generalization and wasted compute. Calibration fragility: τ_unc and KS thresholds chosen on validation may not generalize to held-out subgroups or OOD shifts, producing false trust of imputations. Compute and scale: full factorial experiments require large GPU-hours and storage; surrogate small-scale runs may not fully predict large-scale behavior. Dataset bias: selected public datasets may not represent all domain missingness patterns; results may not transfer to unseen modalities or corpora. Reproducibility risk: if seeds, containers, or generator parameters are not preserved exactly, results may vary.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