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llha_net</w:t>
      </w:r>
    </w:p>
    <w:p>
      <w:r>
        <w:t xml:space="preserve"> </w:t>
      </w:r>
    </w:p>
    <w:p>
      <w:pPr>
        <w:pStyle w:val="Heading2"/>
      </w:pPr>
      <w:r>
        <w:t>Title</w:t>
      </w:r>
    </w:p>
    <w:p>
      <w:r>
        <w:t>Layer-by-layer hierarchical attention network for robust two-view feature-point correspondence learning</w:t>
      </w:r>
    </w:p>
    <w:p>
      <w:r>
        <w:t xml:space="preserve"> </w:t>
      </w:r>
    </w:p>
    <w:p>
      <w:pPr>
        <w:pStyle w:val="Heading2"/>
      </w:pPr>
      <w:r>
        <w:t>Short Hypothesis</w:t>
      </w:r>
    </w:p>
    <w:p>
      <w:r>
        <w:t>A layer-by-layer hierarchical attention network with stage-wise channel fusion and an FP32-aware geometric solver will improve two-view feature-point matching accuracy by at least 3% PCK@1px on MegaDepth and reduce catastrophic pose failures by at least 10% on ScanNet compared to SuperGlue, LoFTR, DKM, COTR, and Sparse-NCNet.</w:t>
      </w:r>
    </w:p>
    <w:p>
      <w:r>
        <w:t xml:space="preserve"> </w:t>
      </w:r>
    </w:p>
    <w:p>
      <w:pPr>
        <w:pStyle w:val="Heading2"/>
      </w:pPr>
      <w:r>
        <w:t>Related Work</w:t>
      </w:r>
    </w:p>
    <w:p>
      <w:r>
        <w:t>Current approaches to two-view correspondence learning include graph-based matchers that use local context, dense transformer matchers that bypass keypoint detection, learned keypoint-and-descriptor pipelines, and sparse correlation routing with learned priors. Examples of technical patterns are: 1) pairwise attention over sparse points or patches (captures local context but can miss global structure), 2) detector-free dense matching with global transformers (good for rich texture but sensitive to occlusion and scale change), and 3) learned sparse correlation networks (efficient but brittle when many outliers exist). Common limitations are sensitivity to outliers, limited multi-stage semantic aggregation, weak handling of occlusions and large viewpoint changes, and numerical instability in geometric solvers when done in low precision. These limitations leave room for architectures that fuse stage-wise features, adaptively combine global perceptual and structural cues, and treat geometric solves in numerically stable (FP32) code paths.</w:t>
      </w:r>
    </w:p>
    <w:p>
      <w:r>
        <w:t xml:space="preserve"> </w:t>
      </w:r>
    </w:p>
    <w:p>
      <w:pPr>
        <w:pStyle w:val="Heading2"/>
      </w:pPr>
      <w:r>
        <w:t>Abstract</w:t>
      </w:r>
    </w:p>
    <w:p>
      <w:r>
        <w:t>We address robust two-view feature-point correspondence under wide baselines and occlusion. We propose LLHA-Net, a layer-by-layer hierarchical attention network that preserves and aggregates semantic features from each encoder stage via stage-wise channel fusion and a hierarchical attention module that adaptively mixes global perceptual and structural cues. LLHA-Net integrates two alternative feature-extraction architectures to increase adaptability across scene types and uses a numerically stable FP32 differentiable fundamental/essential solver for geometry supervision. The main contribution is the combination of hierarchical, stage-preserving attention with geometry-aware training to reduce outlier influence on matching and pose estimation. Expected outcomes are improved matching precision and more reliable downstream pose recovery on standard two-view benchmarks, with clear runtime/complexity targets to guide research and deployment. LLHA-Net is designed for reproducible evaluation using fixed seeds, scene-disjoint splits, and explicit GT verification rules.</w:t>
      </w:r>
    </w:p>
    <w:p>
      <w:r>
        <w:t xml:space="preserve"> </w:t>
      </w:r>
    </w:p>
    <w:p>
      <w:pPr>
        <w:pStyle w:val="Heading2"/>
      </w:pPr>
      <w:r>
        <w:t>Experiments</w:t>
      </w:r>
    </w:p>
    <w:p>
      <w:r>
        <w:t>Datasets: MegaDepth and YFCC (wide-baseline outdoor), HPatches (controlled viewpoint/illumination), ScanNet (indoor RGB-D). Use scene-disjoint splits: 80% train, 10% val, 10% test per dataset. Baselines: SuperGlue, LoFTR, DKM, COTR, Sparse-NCNet, re-trained or evaluated under identical preprocessing and seeds. Metrics: PCK@{0.5,1,2,5} px absolute; normalized PCK@{0.5%,1%,2%,5%} of image diagonal; AUC of reprojection error over 0–10 px (0.5 px sampling); median essential-matrix angular error; catastrophic pose failure rate defined as rotation error&gt;10° OR translation-direction error&gt;10°; median Sampson distance. Training setup: optimizer AdamW with backbone LR=1e-5, transformer/matching heads LR=1e-4, weight decay backbone=1e-4, heads=1e-2; linear warmup 5k steps then cosine decay to 1e-6; total 120k steps; per-GPU batch=4 with gradient accumulation to effective batch=32; clip_norm=1.0; EMA decay=0.9999; mixed precision via torch.cuda.amp but force FP32 for point normalization, Sinkhorn (tau=0.1, eps=0.1, iterations=20), all SVD/QR and Sampson computations. Seeds: run main results with 5 seeds [42,123,2023,31415,271828]; report mean±95% bootstrap CI and paired Wilcoxon tests for comparisons. Evaluation protocol: apply GT verification where dense fused GT accepted only if reprojection error≤1.0 px and visibility in≥3 views; exclude low-fidelity pairs (95th-percentile reproj&gt;2.0 px) from high-precision metrics. Ablations: (A) stage-wise channel fusion ON vs OFF, (B) hierarchical attention module variants (global-perceptual vs structural vs combined), (C) feature extractor architecture A vs B, (D) Sinkhorn matching vs row-softmax, (E) geometry losses OFF / epipolar-only / epipolar+reprojection, (F) FP32 solver vs fallback regularized solver and gradient-masking policy. Run proxy ablations at low channel dims (128D) for quick signal, then full-scale runs for highest-value cells: (D)x(E)x(A) prioritized. Report runtime (ms/pair), params, FLOPs, and peak GPU memory per configuration.</w:t>
      </w:r>
    </w:p>
    <w:p>
      <w:r>
        <w:t xml:space="preserve"> </w:t>
      </w:r>
    </w:p>
    <w:p>
      <w:pPr>
        <w:pStyle w:val="Heading2"/>
      </w:pPr>
      <w:r>
        <w:t>Risk Factors And Limitations</w:t>
      </w:r>
    </w:p>
    <w:p>
      <w:r>
        <w:t>Numeric stability: SVD-based FP32 solvers can still fail on ill-conditioned correspondences; fallback rules may require masking gradients which can slow or bias learning. GT fidelity: fused multi-view GT can include errors; strict thresholds (e.g., ≤1 px) will reduce available training data and may bias datasets toward easier scenes. Compute and memory: hierarchical multi-stage attention and dense matching increase FLOPs and GPU memory (estimated ~38–45M params, ~120 GFLOPs/pair), limiting large-scale runs and real-time deployment. Generalization: models tuned on MegaDepth-like outdoor scenes may underperform in low-texture indoor scenes or in synthetic-to-real transfer. Evaluation bias: choice of pose metric (direction vs scale-aware translation) and catastrophic threshold (10°) affect reported gains and may not reflect all downstream tasks. Reproducibility: some GPU kernels (e.g., certain FlashAttention or CUDA SVD backprop) are nondeterministic across drivers or versions, affecting strict bitwise reproducibility.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