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path_obstacle_overlap_displacement</w:t>
      </w:r>
    </w:p>
    <w:p>
      <w:r>
        <w:t xml:space="preserve"> </w:t>
      </w:r>
    </w:p>
    <w:p>
      <w:pPr>
        <w:pStyle w:val="Heading2"/>
      </w:pPr>
      <w:r>
        <w:t>Title</w:t>
      </w:r>
    </w:p>
    <w:p>
      <w:r>
        <w:t>Two-stage trajectory optimization with path–obstacle overlap surrogates and minimal obstacle displacement for locally optimal constraint-displacement motion planning</w:t>
      </w:r>
    </w:p>
    <w:p>
      <w:r>
        <w:t xml:space="preserve"> </w:t>
      </w:r>
    </w:p>
    <w:p>
      <w:pPr>
        <w:pStyle w:val="Heading2"/>
      </w:pPr>
      <w:r>
        <w:t>Short Hypothesis</w:t>
      </w:r>
    </w:p>
    <w:p>
      <w:r>
        <w:t>A two-stage method that first minimizes a differentiable path–obstacle overlap objective to produce a trajectory through obstacles and then computes minimal obstacle displacements that render that trajectory collision-free yields locally optimal obstacle displacements with lower total displacement cost than standard minimum-constraint-removal baselines on benchmark scenes.</w:t>
      </w:r>
    </w:p>
    <w:p>
      <w:r>
        <w:t xml:space="preserve"> </w:t>
      </w:r>
    </w:p>
    <w:p>
      <w:pPr>
        <w:pStyle w:val="Heading2"/>
      </w:pPr>
      <w:r>
        <w:t>Related Work</w:t>
      </w:r>
    </w:p>
    <w:p>
      <w:r>
        <w:t>Existing approaches fall into two main families. Minimum constraint removal (MCR) and minimum constraint displacement methods search for a path that intersects the fewest obstacles or require removing obstacles but usually do not provide gradient information or local optimality guarantees. Trajectory optimization methods with collision penalties (smooth or nonsmooth) produce locally feasible paths but often rely on non-differentiable checks or heuristics for certification and cannot directly output obstacle displacements. Differentiable signed-distance field (SDF) surrogates and smoothing/continuation strategies have been used to obtain gradients, but prior work lacks quantitative bounds on surrogate error, gradient fidelity near contact, and homotopy-preservation guarantees. Semismooth or generalized-derivative solvers address nonsmooth contact but are not typically integrated with certified exact backends (BVH/continuous collision detection). Sampling-based planners (RRT*, PRM*) provide homotopy diversity but not minimal displacement certificates. Limitations: poor gradient fidelity near contacts, missing quantitative O(ε) error control for surrogates, limited homotopy-preservation diagnostics, reliance on ad hoc solver switching, and incomplete reproducibility artifacts for calibration and certification.</w:t>
      </w:r>
    </w:p>
    <w:p>
      <w:r>
        <w:t xml:space="preserve"> </w:t>
      </w:r>
    </w:p>
    <w:p>
      <w:pPr>
        <w:pStyle w:val="Heading2"/>
      </w:pPr>
      <w:r>
        <w:t>Abstract</w:t>
      </w:r>
    </w:p>
    <w:p>
      <w:r>
        <w:t>We address motion planning problems where a robot attains feasibility by displacing obstacles rather than altering the robot’s path class. We propose a two-stage method: (1) optimize a trajectory that is allowed to pass through obstacles by minimizing a differentiable overlap surrogate built from a smoothed signed-distance field (SDF) and a smooth indicator; (2) compute minimal obstacle displacements that make the optimized trajectory collision-free, using the trajectory as a certificate and producing locally optimal obstacle displacements. The main contributions are (a) a unified formalization of the swept-volume overlap functional for polylines and splines, (b) a differentiable surrogate with explicit continuity and differentiability conditions, and (c) an integrated solver architecture combining smoothed optimization, semismooth fallback, and BVH-based exact certification. We also provide quantified gradient-fidelity metrics, homotopy-preservation diagnostics, and reproducible benchmarks. Expected outcome: reproducible evidence that the two-stage pipeline attains locally optimal obstacle displacements with measurable gradient fidelity, homotopy-aware robustness, and practical runtimes on planar and spatial robot benchmarks.</w:t>
      </w:r>
    </w:p>
    <w:p>
      <w:r>
        <w:t xml:space="preserve"> </w:t>
      </w:r>
    </w:p>
    <w:p>
      <w:pPr>
        <w:pStyle w:val="Heading2"/>
      </w:pPr>
      <w:r>
        <w:t>Experiments</w:t>
      </w:r>
    </w:p>
    <w:p>
      <w:r>
        <w:t>Datasets and scenes: 50 scene geometries × 20 random seeds each, including three geometry classes: open, narrow-passage, and clutter; passage widths = {0.5, 0.2, 0.05} (robot units). Robot models: (A) planar pure-translation disk, (B) rigid planar SE(2) robot, (C) spatial SE(3) rigid body, (D) articulated arm with 6 and 10 DOF. Backends: BVH exact intersection + CCD for certification; GPU-batched smoothed SDF for gradients. Baselines: (1) Minimum Constraint Removal (MCR) search returning minimal obstacles to remove, (2) direct trajectory optimization with collision-penalty terms (no obstacle displacement), (3) augmented Lagrangian optimization with black-box collision checks, (4) sampling-based planners (RRT*, PRM*) with post-hoc obstacle displacement heuristics. Optimization setup: path parameterizations = polylines and cubic B-splines; smoothing schedule ε0 ∈ {0.1, 0.05, 0.01}×nominal width, ε_min = 1e-3×width, continuation rule ε_{k+1}=max(ε_min,0.5ε_k) when KKT residual reduction criterion met. Evaluation metrics: total obstacle displacement cost (L2 norm of displacements), final exact overlap O_exact, KKT norm (stationarity residual), gradient-fidelity metrics (relative gradient norm error, cosine similarity, 95th-percentile pointwise error) using complex-step as reference, homotopy-preservation rate (fraction of seeds preserving h-signature), runtime per optimization (wall-clock), success rate (O_exact ≤ 1e-6 &amp; KKT norm ≤ 1e-4). Ablation studies: (A) remove stage-2 displacement (compare displacement cost and feasibility), (B) vary ε schedule and smoothing kernel width σ, (C) compare polylines vs cubic B-splines, (D) disable semismooth fallback, (E) disable BVH certification. Calibration experiments: automatic mapping from scene statistics (obstacle density, κ_max, clearance distribution, L_γ) to solver thresholds (PCG tol, eigenvalue cutoff, active-set flip rate) via small synthetic dataset. Homotopy falsification test: compute minimal random perturbation magnitude that flips integer h-signature for representative scenes. Hardware and reproducibility: run on CPU baseline Intel i7-class and GPU Nvidia RTX-class; provide Docker image, deterministic seeds, and unit tests comparing AD vs complex-step gradients.</w:t>
      </w:r>
    </w:p>
    <w:p>
      <w:r>
        <w:t xml:space="preserve"> </w:t>
      </w:r>
    </w:p>
    <w:p>
      <w:pPr>
        <w:pStyle w:val="Heading2"/>
      </w:pPr>
      <w:r>
        <w:t>Risk Factors And Limitations</w:t>
      </w:r>
    </w:p>
    <w:p>
      <w:r>
        <w:t>Non-smooth geometry: medial-axis proximity and sharp obstacle corners break SDF differentiability and can invalidate surrogate gradients. Gradient mismatch: smoothing can bias gradients near contact and smoothing parameter choices (ε vs σ) can amplify or damp gradients (sup|φ'| scales like 1/ε). Homotopy changes: optimized trajectories may cross homotopy classes when smoothing is large; discrete h-signature detection can miss topology changes if sampling is insufficient. Solver brittleness: Hessian ill-conditioning, active-set flips, or frequent semismooth fallbacks can cause slowdowns or failure to converge. Scalability: high DOF robots and dense obstacle sets increase cost (optimizer time and memory); BVH certification and CCD can become a bottleneck. Smoothing topology shift: mollifying the SDF may move the zero level set, so post-certification is required and can force rollbacks. Benchmark bias: curated scenes may not cover all adversarial layouts. Hardware constraints: real-time deployment limited by per-iteration latency on target CPU/GPU. Reproducibility risk: threshold calibration and tuning may be scene-specific and require published calibration scripts to replicate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