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moc_crosstalk_rndr</w:t>
      </w:r>
    </w:p>
    <w:p>
      <w:r>
        <w:t xml:space="preserve"> </w:t>
      </w:r>
    </w:p>
    <w:p>
      <w:pPr>
        <w:pStyle w:val="Heading2"/>
      </w:pPr>
      <w:r>
        <w:t>Title</w:t>
      </w:r>
    </w:p>
    <w:p>
      <w:r>
        <w:t>Multi-output classification with a residual neural dimension reductor and frequency-layer normalization for compound motor fault diagnosis under partially labeled domain adaptation</w:t>
      </w:r>
    </w:p>
    <w:p>
      <w:r>
        <w:t xml:space="preserve"> </w:t>
      </w:r>
    </w:p>
    <w:p>
      <w:pPr>
        <w:pStyle w:val="Heading2"/>
      </w:pPr>
      <w:r>
        <w:t>Short Hypothesis</w:t>
      </w:r>
    </w:p>
    <w:p>
      <w:r>
        <w:t>Adding a low-rank residual neural dimension reductor (RNDR) cross-talk module with per-branch gating and frequency-layer normalization to a multi-output classifier increases per-output and exact-match joint F1 on partially labeled target motor-vibration datasets compared to equivalent architectures without RNDR, when trained with the same masked losses and pseudo-label schedules.</w:t>
      </w:r>
    </w:p>
    <w:p>
      <w:r>
        <w:t xml:space="preserve"> </w:t>
      </w:r>
    </w:p>
    <w:p>
      <w:pPr>
        <w:pStyle w:val="Heading2"/>
      </w:pPr>
      <w:r>
        <w:t>Related Work</w:t>
      </w:r>
    </w:p>
    <w:p>
      <w:r>
        <w:t>Existing approaches address compound-fault diagnosis either by training separate single-output classifiers or by multi-task models that share a backbone and use separate heads. Shared-trunk multi-task models can transfer useful features but often suffer negative transfer when outputs conflict. Cross-stitch and attention-based cross-talk variants enable inter-task information exchange, but they typically use full-rank messages or dense attention that scale poorly and lack selective gating. Domain adaptation methods (adversarial feature alignment, adaptive batch norm, importance weighting) handle covariate shift but rarely support partially labeled target outputs or multi-output correlations. Semi-supervised pseudo-labeling is used to exploit unlabeled data but can amplify label noise, especially in correlated outputs. Calibration and uncertainty treatment are typically limited to ensembles or post-hoc temperature scaling and are not integrated into multi-output, partial-label adaptation. Limitations: many methods do not (1) model selective, low-rank inter-output communication, (2) explicitly handle partially missing output labels during adaptation, (3) provide compute-scalable cross-talk, or (4) integrate frequency-aware normalization for vibration signals.</w:t>
      </w:r>
    </w:p>
    <w:p>
      <w:r>
        <w:t xml:space="preserve"> </w:t>
      </w:r>
    </w:p>
    <w:p>
      <w:pPr>
        <w:pStyle w:val="Heading2"/>
      </w:pPr>
      <w:r>
        <w:t>Abstract</w:t>
      </w:r>
    </w:p>
    <w:p>
      <w:r>
        <w:t>We address compound motor fault diagnosis when the target domain provides only partial labels and exhibits domain shift in vibration data. We propose a multi-output classification framework that enables selective information sharing between diagnostic outputs via a residual neural dimension reductor (RNDR): a low-rank, residual cross-talk module with per-branch gating. To match vibration-domain characteristics we combine RNDR with frequency-layer normalization, a normalization applied across frequency channels to stabilize cross-domain spectral shifts. Training uses masked binary cross-entropy for present labels, calibrated pseudo-labeling with a ramped weight and temperature schedule for missing outputs, and an inter-output covariance regularizer to encode expected co-occurrences. The main contribution is a compute-efficient cross-talk design that concentrates communication in a small bottleneck and a frequency-aware normalization to improve adaptation on motor-vibration signals. We expect RNDR to enable selective, targeted transfer that improves both per-output and joint compound-fault detection under partial supervision while keeping parameter and FLOP costs practical for edge deployment.</w:t>
      </w:r>
    </w:p>
    <w:p>
      <w:r>
        <w:t xml:space="preserve"> </w:t>
      </w:r>
    </w:p>
    <w:p>
      <w:pPr>
        <w:pStyle w:val="Heading2"/>
      </w:pPr>
      <w:r>
        <w:t>Experiments</w:t>
      </w:r>
    </w:p>
    <w:p>
      <w:r>
        <w:t>Datasets: (1) Source domain: fully labeled motor vibration dataset with injected single and compound faults across components (bearing, shaft, coupling, winding), multiple severity levels, synchronized tri-axial accelerometer and current sensors (25 kHz vibration, 20 kHz current), ≥10 repeats per condition; (2) Target domains: multiple domain-shifted collections varying sensor position, mounting stiffness, speed/load; target training data contain partial labels with explicit masks; held-out target validation and test sets are fully labeled. Baselines: independent per-output binary classifiers, shared-trunk multi-task network (no cross-talk), gated-additive cross-talk (low-rank additive without RNDR specifics), gated multi-head cross-attention, AdaBN, GRL (gradient reversal) domain-adversarial adaptation, importance-weighted adaptation. Metrics: per-output precision, recall, F1; exact-match joint-F1 (all outputs correct); Hamming loss; Expected Calibration Error (ECE) and Brier score per output; Negative Transfer Index (NTI) per output; MMD between source/target branch features; model size, latency (ms), and FLOPs. Training setup: backbone + N branches, branch feature dim D, RNDR bottleneck r ∈ {32,64,128}, heads H ∈ {2,4} for attention variants, gate L1 ∈ [1e-6,5e-4], λ_corr ∈ [1e-5,1e-2]. Optimization: masked BCE over present labels, pseudo-labeling with threshold τ_o (calibrated on small val), pseudo-weight w_t = w_max·sigmoid(10(t/T_ramp−0.5)), temperature T_t annealed 2.0→0.5, train for fixed epochs with early stopping on val joint-F1. Statistical protocol: run ≥10 fixed seeds, report 95% paired-bootstrap CIs and Wilcoxon signed-rank with Benjamini-Hochberg correction. Ablations: (A) RNDR vs gated-additive vs gated-attention; (B) with and without frequency-layer normalization; (C) λ_corr sweep and S_ij estimation methods (Ledoit–Wolf vs graphical LASSO); (D) pseudo-label safety: label-noise injection {0%,5%,10%,20%} and ensemble-consensus thresholds α ∈ {0.7,0.85,0.9}; (E) scaling: dense N^2 attention vs top-k (k∈{4,8}) routing. Report per-severity and rare-class slices and resource measurements on representative edge GPU.</w:t>
      </w:r>
    </w:p>
    <w:p>
      <w:r>
        <w:t xml:space="preserve"> </w:t>
      </w:r>
    </w:p>
    <w:p>
      <w:pPr>
        <w:pStyle w:val="Heading2"/>
      </w:pPr>
      <w:r>
        <w:t>Risk Factors And Limitations</w:t>
      </w:r>
    </w:p>
    <w:p>
      <w:r>
        <w:t>Negative transfer: cross-talk can hurt some outputs if tasks conflict, causing decreased per-output F1. Pseudo-label noise amplification: incorrect pseudo-labels on correlated outputs may propagate errors. Calibration drift: confidence estimates may become unreliable under strong domain shift. Partial-label bias: masked training depends on mask distribution; biased masks can skew learning. Label-shift and concept-shift: methods that correct covariate shift may fail when label priors or label–feature relationships change. Gating collapse: gates may collapse to trivial closed or open states under poor regularization. Over-coupling: excessive λ_corr or mis-estimated S_ij can force spurious dependencies and reduce joint accuracy. Scalability: dense cross-attention scales O(N^2) with outputs and can be infeasible for large N or limited hardware. Data limitations: limited target labels reduce ability to calibrate thresholds and estimate inter-output priors; injected synthetic compounds may not capture all real-world variability. Reproducibility risks: nondeterministic libraries, incomplete seed control, or missing dataset metadata can hinder exact replication. Limited generalization: system tuned on one machine type or sensor setup may not transfer to different machinery or sensor modalities.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