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feedback_mppi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Feedback-MPPI: computing local linear feedback gains via rollout differentiation for real-time sampling-based model predictive control of nonlinear robotic systems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Augmenting sampling-based MPPI with per-step local linear feedback gains computed by rollout differentiation and constrained by a small per-iteration KL trust-region will reduce closed-loop tracking error and fallback activations while keeping per-iteration latency within real-time control budgets, compared to baseline open-loop MPPI and ADIOS-only control.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Sampling-based MPC methods (e.g., MPPI) use many stochastic rollouts to optimize control sequences but produce primarily open-loop plans and can be slow at high control rates. Riccati-based methods and iLQR compute local linear feedback gains from quadratic approximations and provide fast closed-loop corrections, but they rely on local linearity and can fail on strongly nonlinear or contact-rich systems. Rollout differentiation and differentiable MPC recently enable gradients through sampled trajectories to optimize policies, but prior work often focuses on offline learning or per-iteration full re-optimization without tight runtime trust regions. Importance-sampling estimators used in MPPI suffer normalization bias that scales as O(1/N), and likelihood-ratio estimators can have high variance for non-differentiable events (contacts). Existing approaches also lack integrated, quantitative rules for estimator switching, trust-region enforcement that links probabilistic constraints (KL) to actionable input norms, and reproducible low-latency compute stacks for HIL deployment. Safety verification and Lyapunov-based monitoring are typically absent or informal in sampling-based MPC prior work.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present Feedback-MPPI (F-MPPI), a method to make sampling-based model predictive control suitable for real-time, high-frequency robotic control by combining rollout differentiation with local linear feedback synthesis. F-MPPI computes per-step sensitivity-informed linear feedback gains from sampled rollouts (rollout differentiation) to provide closed-loop corrections around the current state without full re-optimization. A per-iteration KL trust-region is enforced to convert probabilistic policy updates into an explicit L2 bound on corrective inputs, enabling certified Lyapunov-decrement conditions and an explicit fallback to a stable ADIOS baseline. We introduce a hybrid estimator that uses pathwise gradients where dynamics are smooth and likelihood-ratio corrections where nondifferentiable events (contacts) occur, with a statistically justified switching rule. Low-latency kernel primitives and deterministic RNGs support real-time sampling budgets. The main contribution is a practical, theoretically grounded pipeline that yields fast closed-loop corrections, provable input bounds, and measurable estimator bias/variance trade-offs; the expected outcome is sampling-based MPC that meets real-time latency and stability requirements on nonlinear, contact-rich robots.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 and scenarios: (1) Simulated planar quadrotor and 6-DOF manipulator in open-space tracking tasks. (2) Contact-rich legged locomotion scenario (simulation). (3) One hardware-in-the-loop (HIL) scenario on a representative robot (e.g., small quadruped) with calibrated actuator models. All scenarios use deterministic scenario seeds (Philox RNG) and logged environment specs. Baselines: ADIOS-only baseline controller (u_ref), vanilla MPPI (open-loop sampling), rollout-differentiation MPPI without local feedback gains, and iLQR (Riccati-based) where applicable. Evaluation metrics: tracking RMSE (position/pose), per-iteration latency (mean, 95th, 99th percentiles), fallback activation rate, Lyapunov-proxy decrement statistics (V(t+1)-V(t)), estimator bias and variance (MSE), actuator saturation counts, and gradient relative error vs finite-difference. Experimental setup: hardware targets include an NVIDIA-class GPU (e.g., Xavier/RTX) and a CPU core budget; control rates tested at 50 Hz and 100 Hz; horizons T ∈ {20,50} steps; sampling budgets N ∈ {64,128,256,512,1024}. Random seeds: use ≥1000 seeds per condition for estimator MSE sweeps and ≥200 seeds per latency point for stable 95th-percentile CI; stress tests add 1000 randomized disturbance seeds. Specific tests and ablations: (A) MSE sweep: for N ∈ {64,128,256,512,1024} and p_nd ∈ {0,0.05,0.1,0.2} run 1000 seeds/condition to compare pathwise, likelihood-ratio, and hybrid estimators and plot bias/variance/MSE surfaces; (B) KL→L2 empirical check: collect per-step KL and ||k|| across nominal and adversarial rollouts and compute slack factor = measured ||k|| / (σ √(2 ε_KL)); (C) Lyapunov stress test: inject bounded disturbances and parameter perturbations, sweep corrective norm bound δ_u to find sign flip in V decrement; (D) Latency sweep: measure mean/95/99 latency and fallback rate across N,T; (E) Precision ablation: mixed FP16/FP32 vs FP32 accumulators and compare gradient fidelity (relative error vs finite-difference); (F) Constraint ablation: KL-only vs L2-only vs projection vs proximal enforcement. Reporting: bootstrapped 95% CIs, operating characteristic curves (α/β vs p_nd,N) for estimator switching, and reproducible logs with seeds and environment specs.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Technical failure modes: estimator bias at small N can misdirect updates; hybrid estimator switching may be slow or produce extra variance when nondifferentiable event rates are near threshold. Gradient fidelity: mixed precision or approximate VJP kernels can introduce bias that degrades control. Compute and latency limits: high N or long horizons may miss hard real-time deadlines, forcing fallback and reducing performance. Model mismatch and contacts: rollout differentiation depends on model derivatives; strong unmodeled contacts or friction can break gradient assumptions and invalidate Lyapunov surrogate accuracy. Safety monitors: ADIOS quadratic surrogate V(x) may poorly correlate with true mission energy in contact-rich regimes, causing false positives/negatives in fallback triggers. Scalability: method requires more memory and parallel compute than simple baselines, limiting deployment on very small embedded platforms. Generalization limits: tuned trust-region and estimator thresholds may not transfer across robot morphologies or vastly different dynamics without retuning. Reproducibility constraints: HIL results depend on calibrated actuator models and timing measurements; small changes in latency or RNG can alter tail behavior and estimator statistics.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