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x_nav</w:t>
      </w:r>
    </w:p>
    <w:p>
      <w:r>
        <w:t xml:space="preserve"> </w:t>
      </w:r>
    </w:p>
    <w:p>
      <w:pPr>
        <w:pStyle w:val="Heading2"/>
      </w:pPr>
      <w:r>
        <w:t>Title</w:t>
      </w:r>
    </w:p>
    <w:p>
      <w:r>
        <w:t>Learning end-to-end cross-embodiment navigation by distilling privileged RL experts into a transformer controller with navigation action chunking</w:t>
      </w:r>
    </w:p>
    <w:p>
      <w:r>
        <w:t xml:space="preserve"> </w:t>
      </w:r>
    </w:p>
    <w:p>
      <w:pPr>
        <w:pStyle w:val="Heading2"/>
      </w:pPr>
      <w:r>
        <w:t>Short Hypothesis</w:t>
      </w:r>
    </w:p>
    <w:p>
      <w:r>
        <w:t>Distilling multiple privileged-observation reinforcement-learning (RL) experts into a single transformer-based policy using navigation action chunking causes a statistically significant improvement (≥8 percentage points) in cross-embodiment navigation success rate compared to per-embodiment baselines after sim-to-real adaptation with ≤50 real episodes.</w:t>
      </w:r>
    </w:p>
    <w:p>
      <w:r>
        <w:t xml:space="preserve"> </w:t>
      </w:r>
    </w:p>
    <w:p>
      <w:pPr>
        <w:pStyle w:val="Heading2"/>
      </w:pPr>
      <w:r>
        <w:t>Related Work</w:t>
      </w:r>
    </w:p>
    <w:p>
      <w:r>
        <w:t>Existing approaches to robot navigation include: (1) classical modular stacks that separate perception, mapping, and control (good for interpretability but brittle to sensor noise and embodiment changes); (2) end-to-end learned controllers trained per robot with deep reinforcement learning (DRL) (can learn complex behavior but usually overfit to one embodiment and require many samples); (3) methods that use privileged information during training (privileged RL) to speed learning but keep separate experts per body; (4) policy distillation and imitation learning that compress multiple policies into one model (often used for model compression or teacher-student setups but rarely evaluated across widely different robot morphologies); (5) graph-based or FiLM-style adapters that condition policies on embodiment descriptors (helpful but limited in scope or tested scale); and (6) transformer models for sequential control (show promise for long-horizon reasoning but have cost and latency challenges). Limitations across these lines are: poor generalization across embodiment families, high sim and real data requirements, insufficient evaluation of safety and latency in real deployment, and limited statistical rigor for cross-embodiment claims.</w:t>
      </w:r>
    </w:p>
    <w:p>
      <w:r>
        <w:t xml:space="preserve"> </w:t>
      </w:r>
    </w:p>
    <w:p>
      <w:pPr>
        <w:pStyle w:val="Heading2"/>
      </w:pPr>
      <w:r>
        <w:t>Abstract</w:t>
      </w:r>
    </w:p>
    <w:p>
      <w:r>
        <w:t>We address cross-embodiment robot navigation: learning a single end-to-end controller that maps visual and proprioceptive inputs to low-level commands for diverse wheeled and quadrupedal robots. We propose a two-stage approach: first train many expert policies with privileged observations on randomized robot morphologies; then distill those experts into one general policy using navigation action chunking (grouping short action sequences) and a transformer-based imitation learner. The main contribution is a unified distillation pipeline that produces a compact, runtime-safe transformer controller able to run across different embodiments. Expected outcomes are improved sample-efficiency during real-world adaptation, higher cross-embodiment success rates than per-embodiment baselines, and a reproducible evaluation protocol that reports success, navigation efficiency, collision-normalized metrics, and adaptation sample complexity with statistical confidence. This work aims to demonstrate that expert distillation plus action chunking enables a single learned controller to generalize navigation skills across physically different robots while meeting real-time inference budgets.</w:t>
      </w:r>
    </w:p>
    <w:p>
      <w:r>
        <w:t xml:space="preserve"> </w:t>
      </w:r>
    </w:p>
    <w:p>
      <w:pPr>
        <w:pStyle w:val="Heading2"/>
      </w:pPr>
      <w:r>
        <w:t>Experiments</w:t>
      </w:r>
    </w:p>
    <w:p>
      <w:r>
        <w:t>Datasets: Procedural indoor simulation corpus with three embodiment classes (wheeled small, wheeled large, quadruped). Pilot sim set: 10k episodes per class (~50 sim-hours each). Full sim corpus: 300k episodes across classes (~2k sim-hours). Real data: system-ID per robot = 50 structured trajectories (10 calibration maneuvers, 20 random walks, 20 goal-directed). Adaptation budget per held-out robot ≤50 real episodes. Baselines: (A) per-embodiment RL experts trained with privileged observations, (B) single shared policy trained without distillation, (C) distillation without navigation action chunking, (D) FiLM adapter, (E) GNN adapter, (F) hypernetwork adapter, (G) domain-adversarial adaptation (DANN), (H) behavior cloning (BC). Metrics: primary = success rate (binary reach-goal within T=60s and D=0.5m). Secondary = SPL (success weighted by path length), collisions per meter (collisions/path_length), adaptation sample complexity (episodes to reach target success), inference latency (ms), parameter count, and 95% confidence intervals. Statistical tests: use logistic generalized linear mixed model (GLMM) for binary success with fixed effect = method and random effects = seed and embodiment; report effect sizes and bootstrap 95% CIs; supplement with one-way ANOVA on continuous metrics where appropriate and correct multiple comparisons with Benjamini-Hochberg FDR. Training and seeds: main arms N=30 independent seeds where feasible (subject to compute); lower-priority ablations N=10. Compute cap: main training ≤1,500 GPU-hours; pilot limited to 50 GPU-hours. Experimental setup: two-stage pipeline—(1) train privileged RL experts on randomized embodiments with physics domain randomization (mass, friction, delays); (2) collect expert rollouts and train transformer distillation model that ingests visual + proprioceptive streams and outputs navigation action chunks (short sequences of low-level controls). Ablations: remove action chunking, remove privileged observations during expert training, swap transformer for RNN, compare FiLM vs GNN adapter conditioning, enable/disable residual dynamics correction. Robustness tests: adversarial mass/inertia ±50%, actuator delay injection up to 200 ms, sensor dropout up to 30%, and simulated lighting/noise shifts. Acceptance criteria: distillation arm must exceed baselines by ≥8 percentage points in success with 95% CI excluding zero and meet runtime latency ≤30 ms.</w:t>
      </w:r>
    </w:p>
    <w:p>
      <w:r>
        <w:t xml:space="preserve"> </w:t>
      </w:r>
    </w:p>
    <w:p>
      <w:pPr>
        <w:pStyle w:val="Heading2"/>
      </w:pPr>
      <w:r>
        <w:t>Risk Factors And Limitations</w:t>
      </w:r>
    </w:p>
    <w:p>
      <w:r>
        <w:t>Technical failure modes: distilled policy may overfit to simulation artifacts and fail on real robots; residual dynamics corrections could produce unsafe control corrections (large state jumps). Data and evaluation biases: environment difficulty sampling may favor train distributions, producing optimistic generalization; success metric binary threshold choice can hide degraded behavior. Scalability and compute limits: transformer distillation and many seeds are compute-heavy and may not fit the 1,500 GPU-hour cap if not profiled; adapter variants may exceed parameter or latency budgets. Generalization limits: physical morphology gaps (very different robot kinematics) may not be bridged by distillation; extreme sensor failures or novel terrains are out-of-distribution. Safety and deployment constraints: real-time latency jitter, actuator saturation, and hardware timing differences can cause instability. Reproducibility risks: multi-process RNG seeding, container determinism, and parallel-seed independence must be strictly managed or results may be non-reproducible.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