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adapkooppc_mixed_traffic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Adaptive deep Koopman predictive control for mitigating traffic oscillations in mixed traffic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an adaptive deep Koopman linear model of heterogeneous human-driven vehicle dynamics into a tube-based model predictive controller with online residual-bound estimation will reduce velocity-oscillation energy by at least 30% relative to a standard IDM baseline with LQR control in a 50-vehicle ring-road test at 30% AV penetration.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data-driven Koopman model identification, model predictive control (MPC) for traffic smoothing, tube-MPC for bounded-model-error robustness, and Lyapunov-regularized training for stable linear models. Prior Koopman-control methods often assume homogeneity or fixed models, lack online uncertainty calibration, or rely on heavy SDP constraints that do not scale to many vehicles. Robust MPC and LMI-based disturbance handling address worst-case errors but can be conservative and computationally heavy. Real-time mixed-traffic work has shown localized MPC can attenuate waves but often requires manual linearization or strong model assumptions. Limitations: (1) limited treatment of heterogeneous human-driver dynamics, (2) inadequate online residual estimation and alarm calibration, (3) scalability and real-time solve-time guarantees under neighbor communication, (4) incomplete observer/decoder strategies when the learned lift is not invertible, and (5) few works provide integrated safety-triggered fallbacks with statistical calibration.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an adaptive, scalable control framework that combines a learned deep Koopman representation of heterogeneous human-driven vehicle behavior with tube-based model predictive control to reduce traffic oscillations in mixed traffic. The method trains an adaptive deep Koopman network (AdapKoopNet) to lift nonlinear car-following dynamics into a linear latent space, enforces contraction and stabilizability during training via a Lyapunov penalty and spectral constraints, and computes online residual bounds (ε) using calibrated bootstrap or extreme-value estimators. These bounds are propagated into a tube-MPC (a robust MPC that tightens constraints to allow bounded disturbances) to certify recursive feasibility and safety. The main contributions are: (1) an adaptive Koopman lifting that handles heterogeneity, (2) a practical ε-estimation pipeline for online alarm calibration, and (3) an integrated real-time MPC runtime with explicit tube-tightening and supervisor fallbacks. Expected outcome: measurable reduction in oscillation energy and improved throughput while meeting real-time and safety constraints in medium-scale deployments.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anonymized naturalistic driving traces subsampled to per-vehicle time steps; (2) synthetic microsimulations: ring-road simulator with N in {20,50,100} and open multi-lane SUMO scenarios with bottlenecks. Scenarios: AV penetration rates {0%,10%,30%,50%}, disturbance types (single braking, PRBS, cut-in), and neighbor radii r in {1,2,3}. Baselines: (A) human drivers only (IDM/OVM) with no AV control; (B) IDM linearized + LQR controller; (C) centralized MPC with black-box neural predictive model; (D) Koopman-MPC without Lyapunov regularization or online ε-adaptation. Proposed method: AdapKoopPC with AdapKoopNet, Lyapunov penalty, online ε_off/ε_on (bootstrap and POT EVT options), tube-MPC, and supervisor fallback. Evaluation metrics: velocity-oscillation energy (sum over vehicles of variance of speed deviations), spectral amplitude at dominant oscillation frequencies, string-stability gain (ratio of disturbance amplitude downstream), average flow (vehicles/hour), minimum spacing violations count, MPC solve-time median and 99th percentile (ms), false-alarm rate for ε_on alarms, and residual bound ε_off. Experimental setup: control period 200 ms, MPC horizon T=10 steps, latent-dimension m_z=6 (tunable), 30 independent random seeds per condition (power 0.8, alpha=0.05). Ablations: remove Lyapunov loss; replace bootstrap ε with EVT ε; disable decoder/reconstruction loss; vary r. Statistical tests: pre-registered hypotheses with two-sided t-tests or nonparametric tests where distributions non-normal; report 95% confidence intervals and effect sizes.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Model mismatch: Koopman lift may fail to approximate strong nonlinear behaviors, causing large residuals that inflate tubes and reduce performance. Insufficient excitation: training data without safe persistent excitation makes A,B poorly identified (the ability to learn cause-effect relationships is limited). EVT/finite-sample issues: extreme-value tail fits can be unreliable with small sample sizes, producing miscalibrated ε_off (false alarms or missed warnings). Decoder/observability: non-invertible lifts require a decoder and observer; if these fail, latent states may not map to safe physical actions. Real-time constraints: QP solve times and communication latency may exceed 200 ms under worst-case r, causing missed control deadlines. Communication faults: packet loss and delays can degrade distributed MPC guarantees unless explicitly folded into constraints. Safety generalization: results from ring-road or simulated scenarios may not transfer to complex real highways with richer behaviors. Computational cost: Lyapunov SDP solves and LMI certification can be expensive for large-scale systems, limiting on-line re-certification frequency.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