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primal_dual_ilqr_gpu_mpc</w:t>
      </w:r>
    </w:p>
    <w:p>
      <w:r>
        <w:t xml:space="preserve"> </w:t>
      </w:r>
    </w:p>
    <w:p>
      <w:pPr>
        <w:pStyle w:val="Heading2"/>
      </w:pPr>
      <w:r>
        <w:t>Title</w:t>
      </w:r>
    </w:p>
    <w:p>
      <w:r>
        <w:t>Primal-dual iLQR with GPU-parallel KKT elimination for Model Predictive Control of legged robots</w:t>
      </w:r>
    </w:p>
    <w:p>
      <w:r>
        <w:t xml:space="preserve"> </w:t>
      </w:r>
    </w:p>
    <w:p>
      <w:pPr>
        <w:pStyle w:val="Heading2"/>
      </w:pPr>
      <w:r>
        <w:t>Short Hypothesis</w:t>
      </w:r>
    </w:p>
    <w:p>
      <w:r>
        <w:t>Implementing a primal–dual iLQR MPC that solves the KKT system using a GPU-parallel associative scan will reduce per-iteration latency and increase throughput for MPC-in-the-loop learning while maintaining comparable constraint satisfaction and tracking accuracy to CPU baselines.</w:t>
      </w:r>
    </w:p>
    <w:p>
      <w:r>
        <w:t xml:space="preserve"> </w:t>
      </w:r>
    </w:p>
    <w:p>
      <w:pPr>
        <w:pStyle w:val="Heading2"/>
      </w:pPr>
      <w:r>
        <w:t>Related Work</w:t>
      </w:r>
    </w:p>
    <w:p>
      <w:r>
        <w:t>Existing approaches to optimal control for legged robots include sequential iLQR/DDP variants and augmented-Lagrangian or primal–dual solvers for constrained MPC. Prior GPU work mainly accelerates independent rollouts or large linear algebra kernels but often preserves the sequential backward Riccati recursion (temporal serial dependence), limiting speedups for long horizons or batched scenarios. Primal–dual methods provide robust constraint handling but are typically implemented on CPU or with coarse parallelism and rely on heavy regularization or expensive pivoting when ill-conditioned. Mixed-precision strategies can improve throughput but introduce numerical risk that prior work does not quantify for contact-rich gait sequences. Autograd-native MPC-in-the-loop learning (running optimization inside gradient-based learning) is underdeveloped for GPU-first primal–dual formulations. Limitations: lack of a unified, numerically-robust batched KKT elimination mapped to GPU kernels, limited fallback policies for factorization failure on the GPU, and insufficient empirical justification of mixed-precision promotion thresholds and their effect on solver reliability.</w:t>
      </w:r>
    </w:p>
    <w:p>
      <w:r>
        <w:t xml:space="preserve"> </w:t>
      </w:r>
    </w:p>
    <w:p>
      <w:pPr>
        <w:pStyle w:val="Heading2"/>
      </w:pPr>
      <w:r>
        <w:t>Abstract</w:t>
      </w:r>
    </w:p>
    <w:p>
      <w:r>
        <w:t>We address real-time constrained Model Predictive Control (MPC) for legged robots by developing a primal–dual iterative LQR (iLQR) formulation designed for large-scale GPU execution. The method rewrites the primal–dual KKT Newton step so it can be solved with a parallel associative scan, enabling both temporal parallelism (across time stages) and state-space/batch parallelism on GPUs. This design supports batched batched backward passes and batched factorizations, permitting MPC and gradient-in-the-loop learning to run directly on modern GPUs. The main contribution is a numerically-aware mapping from the primal–dual KKT elimination to batched GPU kernels, together with a mixed-precision promotion policy, conditioning diagnostics, and deterministic fallback rules for factorization failure. Expected outcome: substantially higher MPC throughput and lower per-iteration latency on RTX-class GPUs, while preserving constraint satisfaction and control accuracy comparable to CPU baselines, enabling scalable MPC-in-the-loop training and faster HIL experiments.</w:t>
      </w:r>
    </w:p>
    <w:p>
      <w:r>
        <w:t xml:space="preserve"> </w:t>
      </w:r>
    </w:p>
    <w:p>
      <w:pPr>
        <w:pStyle w:val="Heading2"/>
      </w:pPr>
      <w:r>
        <w:t>Experiments</w:t>
      </w:r>
    </w:p>
    <w:p>
      <w:r>
        <w:t>Datasets and scenarios: simulated 2D hopper and 3D quadruped tasks in Isaac Gym and MuJoCo; hardware HIL trials on a quadruped platform. Collect 1,000–5,000 trajectories per robot variant for system ID and evaluation (each 1–10 s). Problem sizes: horizons N ∈ {30,50,100}, state dims n_x ≈ {6,36,72}, control dims n_u ≈ {2,12,24}, batch sizes B ∈ {8,16,64,512}. Baselines: (1) CPU serial primal–dual iLQR, (2) AL‑DDP (augmented Lagrangian DDP) on CPU, (3) FDDP on CPU, (4) a GPU-accelerated MPC that parallelizes only rollouts (no parallel KKT scan). Metrics: KKT residual norm (||KKT||_2), max constraint violation (normalized units), tracking NRMSE, per-iteration latency (mean, p95, worst in ms), throughput (rollouts/s), failure rate (solver divergence %), number of mixed-precision promotions per run, and GPU memory footprint (bytes). Experimental setup: run on RTX3090/4090; use fixed seeds; report mean ±95% confidence interval over ≥30 randomized seeds per scenario; use paired statistical tests vs baselines. Ablation studies: (A) remove temporal parallelism (sequential backward pass) to measure benefit of associative scan; (B) remove state-space/batch parallelism (single-batch runs) to isolate batch scaling; (C) disable mixed-precision promotion (all-FP32) to measure numerical and performance trade-offs; (D) vary cond_est thresholds to produce ROC-style curves of promotion vs solver success. Acceptance criteria: for simulated tasks, passing runs should achieve KKT &lt; 1e-4, max constraint violation &lt; 1e-3, tracking NRMSE &lt; 5%, and per-iteration latency in the target envelope (5–20 ms for N ≤ 50 on RTX-class GPUs) for at least 80% of seeds. Compare performance, reliability, and resource use across baselines and ablations.</w:t>
      </w:r>
    </w:p>
    <w:p>
      <w:r>
        <w:t xml:space="preserve"> </w:t>
      </w:r>
    </w:p>
    <w:p>
      <w:pPr>
        <w:pStyle w:val="Heading2"/>
      </w:pPr>
      <w:r>
        <w:t>Risk Factors And Limitations</w:t>
      </w:r>
    </w:p>
    <w:p>
      <w:r>
        <w:t>Numerical instability: H_u_aug (augmented control Hessian) may become indefinite if Cu^T W Cu is not positive definite (e.g., rank-deficient constraint Jacobians), causing Cholesky failure. Mixed-precision: FP32 factorizations can produce inaccurate Newton steps in ill-conditioned slices and promotions to FP64 add latency and may still fail for extreme conditioning. Scalability: large B and N increase GPU memory use; worst-case memory may exceed GPU VRAM on long horizons or large state dims. Fallback latency: fallback to pivoted LDL^T or CPU slices can produce large, unpredictable delays that violate real-time budgets. Autograd correctness: custom batched kernels must match adjoint semantics; subtle errors can bias learning. Sim-to-real gap: simulator-collected datasets may not capture real contact variability, causing degraded HIL performance. Safety and timing: the assumed rollback and safe‑hold latencies (10–50 ms) depend on the full stack (sensors, comms, actuators) and may be unachievable on some hardware. Generalization: method tuned for legged contact sequences may not transfer to other robotic domains without retuning conditioning thresholds and barrier schedules. Data bias: ID datasets may under-sample rare contact modes, reducing identifiability for those regimes.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