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sim2real_diffusion_vl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Conditional latent diffusion with vision-language foundation models for adaptive sim-to-real autonomous driving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Conditioning a latent diffusion perception model on vision-language embeddings plus lightweight few-shot adapters will reduce the sim-to-real perceptual gap and lower on-road collision rate compared to a simulation-trained baseline without vision-language conditioning.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sim-to-real approaches rely mainly on (1) domain randomization, which varies simulator visuals to improve robustness, (2) image-level style transfer to make synthetic images look more real, and (3) distillation or imitation (behavioral cloning) to transfer policies. Foundation vision-language models (VL models) provide multi-modal embeddings that capture semantics across images and text, but prior transfer work rarely conditions generative perception models on these VL embeddings. Latent diffusion models (generative models that operate in a compressed latent space) have been used for image synthesis and perception augmentation, yet they are seldom combined with VL conditioning, modular adapters, and safety-aware controller blending. Limitations in prior methods include: insufficient semantic alignment between sim and real, high sample requirements for rare events, lack of few-shot adapter workflows that preserve VL priors, limited latency/distillation planning for real-time control, and few studies that integrate formal safety checks (e.g., Control Barrier Functions) with perception uncertainty.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 unified framework that uses conditional latent diffusion together with foundation vision-language (VL) embeddings to adapt simulated driving perception to real environments. The system conditions a latent diffusion denoiser on VL embeddings derived from image and textual prompts, and adapts via modular few-shot adapters that preserve frozen VL backbones. It supports multi-modal prompts (text and images), mixed sim/real fine-tuning, and digital-twin dynamics calibration for vehicle behavior. The main contributions are (1) a VL-conditioned latent diffusion module for perceptual domain adaptation, (2) a modular adapter and prompt design enabling few-shot real-data tuning, and (3) an evaluation and safety integration plan combining uncertainty-aware blending with certified controller fallbacks. Expected outcomes are measurable reductions in sim→real embedding gap and perceptual metrics, improved closed-loop driving safety (lower collision/intervention rates), and a reproducible pipeline that balances sample efficiency, latency, and safety constraints.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splits: (A) Synthetic simulator corpus with domain randomization (lighting, weather, texture, sensor artifacts), split sim_train 70% / sim_val 15% / sim_test 15% by scene. (B) Digital-twin dynamics calibration logs (system-id maneuvers). (C) Real instrumented driving dataset (urban/suburban), split final real fine-tune: scenes hold-out 60% train / 20% val / 20% test; mixed-stage training adds 10% real to sim_train. Use fixed random seeds {42,7,123}. Baselines: (1) sim-only behavioral cloning policy (perception→control) without adaptation, (2) sim + domain randomization, (3) sim + image-level style-transfer (AdaIN/CycleGAN) preprocessing, (4) latent diffusion without VL conditioning, (5) VL-conditioned encoder with no diffusion (feature-tuning). Proposed model: conditional latent diffusion denoiser conditioned on VL embeddings + lightweight adapters (LoRA-style or prompt-tokens). Evaluation metrics: primary — collision rate (events per 1000 km), interventions per hour, lane-deviation RMS (m); secondary — FID (image distribution distance), LPIPS (perceptual similarity), CLIPScore (semantic alignment; cosine-based score), grounding AP (detection grounding). Statistical tests: Poisson rate tests for collision/intervention counts, bootstrap 95% CIs for scalar metrics (Nboot=1000), significance p&lt;0.05, report Cohen's d. Experimental setup: hyperparameter ranges adapter LR ∈ [1e-4,1e-3], weight decay ∈ [0,1e-2], batch size ∈ [64,256], LoRA ranks ∈ [4,32], prompt tokens ∈ [8,32], MLP dims ∈ [256,1024]; scheduler: cosine decay with 5% linear warmup; seeds fixed. Hardware and compute: prototype runs on 4×A100 (48–96h per major ablation); full study 8×A100 (~1–2 weeks). Ablations and comparisons: (A) conditioning modality (text-only, image-only, joint VL embeddings), (B) adapter size/location (LoRA rank 4/8/16, insert in last 3–4 layers), (C) data mix (sim-only, sim+10% real, sim+mixed curriculum), (D) distillation steps (16→8→4→2) and resulting latency vs fidelity, (E) style-transfer on-the-fly vs static augmentation. Pre-registered pass criteria: reduce sim→real CLIP embedding cosine gap by ≥30% and FID by ≥20% vs sim-only baseline; collision rate threshold ≤1 per 1000 km to pass. Sample-size guidance: for scalar effects use N≈64 per condition; for rare-event collision detection plan ~1000 km per condition or use accelerated scenario-injection (importance sampling) with weighted estimators; report per-run wall-clock and percentile latency (50/95/99) for denoiser and policy. Reproducibility: publish container, exact YAML configs, seeds, data-split scripts, checkpoints, and unit tests for CBF certificates.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diffusion denoiser may be slow for real-time control or lose fidelity when distilled to few steps; distillation can reduce perceptual accuracy. Perception-error modeling: assuming a single uniform error bound ε (an L2-ball) is often unrealistic—errors are heteroskedastic (vary by object type, distance) and anisotropic. Robust-CBF conservatism: interval arithmetic bounding can be overly conservative, causing frequent fallback to certified controllers and reducing learned policy autonomy. Data and evaluation biases: real-world rare-event rates are low, so Poisson-based sample requirements may be impractical without accelerated testing; synthetic scenario priors may misrepresent real-world distributions. Scalability and compute: full ablations and ensemble uncertainty estimation are compute heavy (multi-GPU weeks) which limits iteration speed. Generalization limits: adapters and few-shot fine-tuning may overfit specific scenes or weather types and fail on unseen ODDs (operational design domains). Regulatory and safety limits: closed-loop real-world testing is constrained by safety rules and requires staged validation before deployment. Measurement limits: perceptual metrics (FID, CLIPScore) are proxy measures and do not guarantee closed-loop safety improvements.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