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hierarchical_active_inference_vq</w:t>
      </w:r>
    </w:p>
    <w:p>
      <w:r>
        <w:t xml:space="preserve"> </w:t>
      </w:r>
    </w:p>
    <w:p>
      <w:pPr>
        <w:pStyle w:val="Heading2"/>
      </w:pPr>
      <w:r>
        <w:t>Title</w:t>
      </w:r>
    </w:p>
    <w:p>
      <w:r>
        <w:t>Deep active inference with a temporally hierarchical world model and vector-quantized abstract actions for low-cost real-world robot control</w:t>
      </w:r>
    </w:p>
    <w:p>
      <w:r>
        <w:t xml:space="preserve"> </w:t>
      </w:r>
    </w:p>
    <w:p>
      <w:pPr>
        <w:pStyle w:val="Heading2"/>
      </w:pPr>
      <w:r>
        <w:t>Short Hypothesis</w:t>
      </w:r>
    </w:p>
    <w:p>
      <w:r>
        <w:t>Introducing a temporally hierarchical latent state split (fast and slow) together with vector-quantized abstract actions reduces online action-selection latency by at least 50% while keeping task success within 5 percentage points of a flat active inference controller on the same robot tasks.</w:t>
      </w:r>
    </w:p>
    <w:p>
      <w:r>
        <w:t xml:space="preserve"> </w:t>
      </w:r>
    </w:p>
    <w:p>
      <w:pPr>
        <w:pStyle w:val="Heading2"/>
      </w:pPr>
      <w:r>
        <w:t>Related Work</w:t>
      </w:r>
    </w:p>
    <w:p>
      <w:r>
        <w:t>Existing approaches include: (1) deep active inference controllers that optimize beliefs and actions jointly but operate on a single timescale and incur high planning cost; (2) hierarchical latent models and multi-timescale state representations used for prediction and control, which improve representation but often lack uncertainty-aware planning; (3) model predictive control (MPC) and model-based RL approaches that perform short-horizon planning over continuous actions but are computationally expensive for real-time robot loops; (4) option/skill frameworks and action abstraction that reduce planning complexity but seldom couple learned abstractions with principled uncertainty estimates; (5) vector quantization (VQ) used to compress high-dimensional spaces (e.g., images or actions) but rarely combined with active inference. Limitations across these lines are high compute cost in closed loop, poor handling of multiple temporal scales in belief updates, lack of integrated uncertainty measures for abstract actions, limited real-robot stability diagnostics, and weak reproducibility practices.</w:t>
      </w:r>
    </w:p>
    <w:p>
      <w:r>
        <w:t xml:space="preserve"> </w:t>
      </w:r>
    </w:p>
    <w:p>
      <w:pPr>
        <w:pStyle w:val="Heading2"/>
      </w:pPr>
      <w:r>
        <w:t>Abstract</w:t>
      </w:r>
    </w:p>
    <w:p>
      <w:r>
        <w:t>We address real-world robot control under uncertainty by combining deep active inference with a temporally hierarchical world model and vector-quantized abstract actions. The world model factorizes latent state into fast and slow components: fast latents absorb high-rate sensor updates (e.g., IMU), while slow latents capture contextual, slowly changing features (e.g., scene layout). The action model learns a small set of abstract actions via vector quantization (VQ) that compresses short action sequences into discrete codes; an abstract world model predicts future slow latents conditioned on these codes. At runtime the controller performs low-cost planning in the abstract action space to evaluate expected free energy over a short horizon and executes the first step, enabling both goal-directed and exploratory behaviors with lower compute. Main contribution: a unified architecture that decouples timescales and action complexity to reduce planning latency while preserving uncertainty-aware decision-making. Expected outcome: substantially lower decision-time computation and similar task success rates compared to flat controllers, enabling real-time deployment on edge hardware.</w:t>
      </w:r>
    </w:p>
    <w:p>
      <w:r>
        <w:t xml:space="preserve"> </w:t>
      </w:r>
    </w:p>
    <w:p>
      <w:pPr>
        <w:pStyle w:val="Heading2"/>
      </w:pPr>
      <w:r>
        <w:t>Experiments</w:t>
      </w:r>
    </w:p>
    <w:p>
      <w:r>
        <w:t>Datasets and platforms: domain-randomized simulated tasks in MuJoCo and IsaacGym (pick-and-place, context-shift manipulation, long-horizon assembly) plus one 6-DoF real manipulator for sim-to-real transfer. Training data: replay buffer of 100k trajectory segments, minibatch 64. Baselines: (A) flat deep active inference (single timescale, continuous actions), (B) model-free PPO, (C) MPC with learned dynamics + iLQG system ID, (D) option-critic style discrete skills with no uncertainty. Metrics: decision latency (ms) for belief update and MPC step, task success rate (%), expected free energy per timestep (nats/timestep), sample efficiency (episodes to reach 90% success), worst-case success degradation under ±20% dynamics shift (%), compute (GPU/CPU % and memory MB), and stability diagnostics (σ_max of dynamics Jacobian, Frobenius norm ||J||_F). Primary targets: fast belief update ≤10 ms, MPC decision ≤50 ms. Ablations: remove VQ (continuous action planning), collapse to single timescale, reduce covariance rank r∈{2,4,8}, disable contractive Jacobian penalty, disable Lyapunov regularizer. Experimental protocol: for each condition run 200 test episodes distributed over 10 random seeds; compute 95% bootstrap CIs for each metric and perform two-sided t-tests (α=0.05) or nonparametric tests if distributions are skewed. Additional analysis: ROC curves and precision-recall for anomaly thresholds (KL and G jump), and per-hardware latency-cost profiling for multimodality escalation (measure ELBO_gain_per_ms for particle vs amortized inference). Reporting: full per-task tables, ablation charts, and latency-vs-success Pareto front.</w:t>
      </w:r>
    </w:p>
    <w:p>
      <w:r>
        <w:t xml:space="preserve"> </w:t>
      </w:r>
    </w:p>
    <w:p>
      <w:pPr>
        <w:pStyle w:val="Heading2"/>
      </w:pPr>
      <w:r>
        <w:t>Risk Factors And Limitations</w:t>
      </w:r>
    </w:p>
    <w:p>
      <w:r>
        <w:t>Technical failure modes: codebook collapse in vector quantization (many actions map to a few codes) causing poor policy expressiveness; posterior collapse or miscalibrated uncertainty leading to unsafe decisions; inability of low-rank covariance to capture strong multimodality in perceptual residuals. Data and evaluation biases: domain randomization gaps between MuJoCo/IsaacGym and the real robot causing sim-to-real failures; limited diversity in manipulation objects or contexts biasing results. Scalability and compute: abstract planning reduces cost but VQ training, particle escalation, or normalizing flows can still exceed edge hardware budgets under worst-case loads. Generalization limits: learned slow latents may not transfer to radically new contexts; high-frequency sensor delays or compression artifacts can break fast-latent updates. Safety limits: anomaly detection latency and false negatives can produce unsafe trajectories before fallback engages. Reproducibility limits: differences in simulator physics engines, firmware, and drivers can change dynamics; reported thresholds may require recalibration per hardware. Statistical limits: detecting rare failure modes (&lt;5% rate) requires larger sample sizes than baseline experiments.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