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dasp_spatiotemporal_adapt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DASP: adversarially adapted spatiotemporal priors for self-supervised nighttime monocular depth estimation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Adapting daytime-learned spatiotemporal priors to nighttime imagery via an adversarial feature-alignment branch plus uncertainty-filtered pseudo-labeling will reduce per-sequence scale drift and per-frame depth error compared to a day-trained teacher and non-adaptive self-supervised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monocular depth estimation include (a) self-supervised photometric methods that learn depth from video using image reprojection, (b) multi-frame temporal fusion methods that aggregate information across time (RNNs, transformers), and (c) domain-adaptation or stylization methods that transfer appearance across day/night. Limitations: photometric self-supervision fails under low visibility and non-Lambertian effects (specularities, flares); temporal fusion without robust occlusion or uncertainty modeling can propagate wrong depth; naive stylization can introduce artifacts and confirmation bias; adversarial alignment risks semantic collapse if applied without semantic or uncertainty safeguards. Prior methods rarely combine probabilistic spatiotemporal priors, adversarial feature-level alignment, and uncertainty-guided pseudo-labeling in a reproducible self-supervised pipeline for nighttime scenes. Evaluation practices often omit long-term sequence-scale-drift metrics and per-condition stratified reporting.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DASP, a self-supervised framework that improves monocular depth estimation in nighttime driving by adapting spatiotemporal priors learned on daytime data. DASP comprises two coupled branches: a self-supervised learning branch that trains depth and pose from video with illumination-aware photometric losses and per-pixel uncertainty, and an adversarial domain-adaptation branch that transfers daytime spatiotemporal features to nighttime inputs via spatiotemporal priors learning blocks (SPLB). Each SPLB contains a spatial-based temporal learning module (STLM) that uses orthogonal differencing to capture motion-related temporal changes and an axial spatial learning module (ASLM) that combines local asymmetric convolutions with global axial attention to capture multiscale structure. Nighttime pseudo-labels are accepted only when uncertainty, multi-stylization agreement, and reprojection consistency pass conjunctive filters. We expect DASP to reduce per-frame depth error, improve uncertainty calibration, and lower sequence-scale drift in low-visibility scenarios by providing robust, transferable spatiotemporal cues while avoiding negative transfer.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Dark Zurich nighttime subset for training/validation/test, with daytime source data drawn from the corresponding daytime sequences; include representative sequences with headlights, glare, rain, and wet roads. If available, use synchronized LiDAR anchors (≥64-beam or fused multi-pass) for sequence-scale evaluation; otherwise use probabilistic MVS anchors with per-pixel uncertainty and exclude triangulation angle &lt;3° or reprojection residual &gt;2 px. Baselines: (1) day-trained teacher evaluated on night (no adaptation), (2) self-supervised day→night with illumination-aware photometric loss only, (3) add per-pixel uncertainty head with NLL weighting, (4) add multi-frame fusion (GRU or temporal transformer) without domain adaptation, (5) full DASP (stylization + adversarial feature alignment + pseudo-labeling). Architectures and training defaults: encoders ConvNeXt-Tiny and EfficientNet-B3; temporal aggregators: GRU and lightweight temporal transformer; seeds {42,2026,7}; optimizer Adam (β1=0.9, β2=0.999), weight decay 1e-5; LR depth/pose 1e-4, discriminator LR 1e-5; batch size 8 mixed precision; warm-up linear 5k steps; total 100k steps; cosine decay to 1e-6; save/validate every 2k steps. Robust penalty: Cauchy with c ∈ {0.05,0.08,0.12} (ablate); uncertainty log-variance initialized 0 and clamped to [-10,10]. Pseudo-label filters: σ &lt; 0.3 (ablate 0.2–0.5), multi-stylization depth std &lt; 0.15 (ablate 0.1–0.25) across K=3 stylizations, reprojection photometric residual &lt;0.07 (ablate 0.05–0.12). Evaluation metrics: per-frame AbsRel and RMSE (root mean squared error), sequence-scale-drift (compute per-anchor median scale ratios using odometry or LiDAR anchors, accumulate multiplicatively, report mean relative scale change per meter), calibration metrics (regression ECE with 10 bins, NLL, 68/95% interval coverage), proxy-domain metrics (MMD with RBF kernel bandwidth median pairwise distance heuristic, proxy A-distance using linear classifier), semantic-collapse checks (k-NN retrieval precision, per-class feature entropy). Statistical reporting: report mean ± 95% bootstrap CI (hierarchical bootstrap over sequences then frames, 10,000 resamples), paired tests (paired t-test or Wilcoxon) across matched sequences, and mean±std across seeds. Ablations: run ordered ablation sequence (1→5 above) and an adaptation ablation matrix removing stylization, adversarial loss, or pseudo-labeling; report negative-transfer rate on held-out non-stylized nighttime validation set. Profiling: record params, FLOPs, peak GPU memory, and per-frame latency for each encoder×aggregator; apply auto-tuning rule comparing mean optical-flow magnitude (&gt;0.02) to select shorter window+GRU or longer window+transformer. Checkpoints and reproducibility: publish configs, seeds, run command for a 1k-step toy-run on a single sequence, and full training configs.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Adversarial instability: discriminator training may destabilize encoder features, causing training collapse or degraded validation metrics. Negative transfer: stylization or pseudo-labels can reinforce artifacts, lowering performance on real night images or held-out non-stylized sets. Photometric failures: heavy glare, saturated pixels, and non-Lambertian surfaces can break photometric losses and bias depth. Ground-truth sparsity: LiDAR anchors at night may be sparse or missing, reducing reliability of sequence-scale-drift anchors. Compute and reproducibility limits: full pilots (100k steps × multiple seeds × ablations) require large GPU time and energy; results may vary across CUDA/cuDNN versions and non-deterministic operations. Generalization: methods tuned on Dark Zurich may not transfer to rural, off-city, or different-sensor domains without additional adaptation. Evaluation bias: excluding dynamic/occluded pixels may hide failure modes in moving objects; stratified reporting is required but increases evaluation complexity.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