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sign_image_goal_nav</w:t>
      </w:r>
    </w:p>
    <w:p>
      <w:r>
        <w:t xml:space="preserve"> </w:t>
      </w:r>
    </w:p>
    <w:p>
      <w:pPr>
        <w:pStyle w:val="Heading2"/>
      </w:pPr>
      <w:r>
        <w:t>Title</w:t>
      </w:r>
    </w:p>
    <w:p>
      <w:r>
        <w:t>Sim-to-real reinforcement learning with depth-based safety for image-goal navigation using continuous end-to-end velocity control</w:t>
      </w:r>
    </w:p>
    <w:p>
      <w:r>
        <w:t xml:space="preserve"> </w:t>
      </w:r>
    </w:p>
    <w:p>
      <w:pPr>
        <w:pStyle w:val="Heading2"/>
      </w:pPr>
      <w:r>
        <w:t>Short Hypothesis</w:t>
      </w:r>
    </w:p>
    <w:p>
      <w:r>
        <w:t>A continuous end-to-end velocity-control policy trained with auxiliary visual representation tasks and deployed with a depth-based runtime safety module will reduce collision probability and increase image-goal success rate in sim-to-real drone navigation compared to policies trained without these components.</w:t>
      </w:r>
    </w:p>
    <w:p>
      <w:r>
        <w:t xml:space="preserve"> </w:t>
      </w:r>
    </w:p>
    <w:p>
      <w:pPr>
        <w:pStyle w:val="Heading2"/>
      </w:pPr>
      <w:r>
        <w:t>Related Work</w:t>
      </w:r>
    </w:p>
    <w:p>
      <w:r>
        <w:t>Prior work on autonomous drone navigation includes image-goal and goal-conditioned approaches, reinforcement learning (RL) controllers, sim-to-real transfer via domain randomization, and formal runtime safety shields (e.g., control barrier functions or model predictive controllers). Existing image-goal methods often rely on discrete actions, external localization, or offline mapping, which limits smooth flight and on-board autonomy. Sim-to-real RL approaches improve transfer but still suffer from brittle visual representations and unmodeled dynamics that cause failures in new environments. Runtime safety shields can prevent collisions but are frequently ad-hoc, lack integration with learned perception confidence, or depend on optimistic uncertainty models. Representation learning using auxiliary tasks improves robustness but has not been consistently combined with continuous velocity control and certified reachability analyses. Unresolved issues include insufficiently audited sim-to-real assumptions, limited tail-risk evaluation for rare collisions, and missing formal mappings from reachability outputs to probabilistic safety guarantees.</w:t>
      </w:r>
    </w:p>
    <w:p>
      <w:r>
        <w:t xml:space="preserve"> </w:t>
      </w:r>
    </w:p>
    <w:p>
      <w:pPr>
        <w:pStyle w:val="Heading2"/>
      </w:pPr>
      <w:r>
        <w:t>Abstract</w:t>
      </w:r>
    </w:p>
    <w:p>
      <w:r>
        <w:t>We present a sim-to-real framework for image-goal navigation of autonomous drones that combines continuous end-to-end velocity control, auxiliary-augmented visual representation learning, and a depth-based runtime safety module. The agent directly outputs body-frame velocity setpoints at low rate while a low-level controller runs at high rate; visual features are trained with auxiliary tasks (image perturbation and short-horizon transition prediction) to improve invariance and temporal grounding. A depth-based safety module consumes on-board depth cues and perception confidence to trigger a certified shield that enforces conservative setpoint modifications for obstacle avoidance. Main contributions are: (1) an integrated training pipeline that couples auxiliary visual learning with a PPO-Lagrangian policy for cost-constrained behavior, (2) a practical mapping from reachability outputs and perception confidence to safety margins used by the shield, and (3) an evaluation protocol for sim-to-real transfer with statistical power for rare-event tail metrics (e.g., CVaR). Expected outcome: lower collision rates and improved goal-reaching in real flights without external localization, with quantifiable safety trade-offs.</w:t>
      </w:r>
    </w:p>
    <w:p>
      <w:r>
        <w:t xml:space="preserve"> </w:t>
      </w:r>
    </w:p>
    <w:p>
      <w:pPr>
        <w:pStyle w:val="Heading2"/>
      </w:pPr>
      <w:r>
        <w:t>Experiments</w:t>
      </w:r>
    </w:p>
    <w:p>
      <w:r>
        <w:t>Datasets and environments: 1) Simulation: 12 canonical 3D environments (sparse, corridor, maze) with domain randomization: motor constants ±20%, prop size ±10%, mass ±5%, sensor latency ±10–50 ms, photometric shifts ±30%, wind up to 5 m/s; synthetic perception dataset 50k images for pretraining. 2) Real: indoor motion-capture lab and an outdoor test site with 5k annotated real images for validation. Baselines: A) RL with no auxiliary tasks, B) RL with discrete action policy, C) RL with auxiliary tasks but no runtime shield, D) shield-only reactive controller, E) perfect-perception oracle. Policy and training: PPO-Lagrangian with λ0=0.1, η∈[1e-3,1e-2], batch 1024, policy LR 2e-4, value LR 1e-3; HL rate 1 Hz, LL 100 Hz. Metrics: success rate, SPL (success weighted by path length), time-to-goal, collisions per mission and per meter, shield activation frequency, CVaR at 95% and 99% of collision/near-miss cost (costs are unitless per-step as defined), energy consumption, latency (p50/p99) for HL inference and HL→LL roundtrip. Statistical plan: run 5 random seeds × 300 episodes per condition (≥1500 episodes) for collision upper-bound claims; aggregate ≥2000 episodes for CVaR99 estimates; use SPRT (α=β=0.05) for deployment hypothesis tests. Ablations: (1) remove auxiliary tasks to measure representation effect, (2) remove shield to isolate runtime safety, (3) vary perception-confidence margin mapping m(p) (m_min=0.3 m, m_max=1.2 m) and zonotope horizon H ∈ {0.5,1.0,1.5} s to produce sensitivity curves, (4) grid over λ0 and η per sweep. Hardware and replay: run profiling on Jetson Xavier NX/Orin target; CI stress tests assert HL p99 ≤ 300 ms; provide containerized training and deterministic seed lists; include HIL bench tests (thrust-step, latency injection) and SITL replay for certificate regeneration.</w:t>
      </w:r>
    </w:p>
    <w:p>
      <w:r>
        <w:t xml:space="preserve"> </w:t>
      </w:r>
    </w:p>
    <w:p>
      <w:pPr>
        <w:pStyle w:val="Heading2"/>
      </w:pPr>
      <w:r>
        <w:t>Risk Factors And Limitations</w:t>
      </w:r>
    </w:p>
    <w:p>
      <w:r>
        <w:t>Modeling and verification assumptions: reachability analyses assume bounded param uncertainty, limited linearization regions, and disturbance independence; if these assumptions fail, certificates may be invalid. Perception failure modes: embedding collapse, adversarial aliasing, occlusion, timing jitter, or camera saturation can produce high false-positive rates and miscalibrated confidence. Mapping conservatism and looseness: additive mapping d_min_eff = d_min + r_zono + m(p) is conservative but may be loose, reducing efficiency; lack of provable tight bounds limits formal guarantees. Tail data and sample complexity: estimating CVaR99 and rare-event probabilities requires very large episode counts or advanced sampling; resource limits may prevent tight CI. Real-time constraints: onboard compute or I/O contention can inflate latencies, degrading closed-loop safety. Sim-to-real gaps: unmodeled aerodynamics, IMU drift, or thrust curve mismatch can invalidate policies; HIL thresholds must be defined. Operational limits: hardware failures, battery depletion, sensor dropout, and regulatory constraints restrict deployment. Scalability: full certification and exhaustive adversarial testing are time and compute intensive and may not scale to all environments.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