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robot_pollinators_review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Systematic review and categorization of robot-based pollination technologies and evaluation of perception-driven integration to address crop-specific pollination gaps in greenhouse production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standardized end-effector categories with perception-driven closed-loop control in robot-based pollinators causes pollen deposition and fruit-set outcomes that are non-inferior to hand-pollination (within ±10% fruit-set) for target greenhouse crops.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robot-based pollination include mechanical contact actuators (linear actuators, brushes), air-jet and water-jet plumes, ultrasonic/vibrotactile (buzz-pollination mimics), and air-liquid spray systems. Platforms used are gantry systems, unmanned ground vehicles (UGVs), and small unmanned aerial vehicles (UAVs). Reported limitations across methods are: crop-specific efficacy (some methods work only on open or clustered flowers), variable pollen transfer efficiency, flower damage from excessive force or vibration, low throughput for field-scale adoption, high energy per flower, short operational lifetime, and lack of standardized performance metrics. Many studies lack integrated perception (visual/pose/force sensing) so targeting and closed-loop control are poor, leading to inconsistent deposition. There is also limited cross-crop comparison, few multi-site trials, sparse reproducible datasets, and absence of harmonized QA/QC and durability standards, which prevents fair benchmarking and generalization.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Crop pollination in greenhouses faces labor shortages and ecosystem pressures; robot-based pollinators have been proposed but lack systematic comparison, crop-specific benchmarks, and integration with sensing and control. This work reviews and categorizes current robot-based pollination technologies (air-jet, water-jet, linear-actuator contact, ultrasonic/vibratory, air-liquid spray), maps them to floral syndromes, and evaluates how automated perception and closed-loop control can close performance gaps. The main contribution is a structured framework: (1) taxonomy of end-effector classes and platform types, (2) quantified, platform-agnostic benchmarks (pollen deposition, fruit-set, throughput, energy, force, latency, durability), and (3) experimental protocols and data schema to compare methods across crops. Expected outcomes are a defensible benchmark suite and experimental plan that enable reproducible head-to-head tests, clarify which technology classes suit which crops, and show whether perception-driven integration yields pollination outcomes comparable to hand-pollination within pre-specified margins.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multi-crop greenhouse trials for three representative crops: tomato (buzz-pollinated), strawberry (open-access flowers), and blueberry (clustered urn-shaped flowers). For each crop collect: per-flower fluorescence microscopy images (16-bit TIFF), sensor logs (RGB-D, force, IMU), and agronomic outcomes (fruit_set, seed_count, fruit_weight). Baselines: (A) hand-pollination positive control, (B) open/wild-bee baseline, (C) robot treatment per end-effector class (linear-actuator brush, vibrotactile sonication, air-jet plume, air-liquid spray), (D) negative exclusion control if feasible. Sample sizes: n = 50 flowers per arm per crop (pilot variance assumption SD ≈25% of mean) to detect ~15% difference at 80% power; adjust via pre-registered power scripts. Evaluation metrics: pollen_deposition (grains/stigma from fluorescent assay), fruit_set (%) per tagged flower, seed_count per fruit, flower_damage_rate (%), energy_per_flower (Wh and J), throughput (flowers/hr), end-effector_contact_force (N), vibration_amplitude (µm), perception_precision/recall (%), pose_RMS (mm), perception-to-actuation_latency (ms), MTBF (h). Experimental setup: randomized block design stratified by bloom stage and row; sensor-calibrated fluorescent-pollen SOP (stain, fixation in 70% ethanol ≤1h, imaging 10x–20x, automated segmentation). Statistical analysis: pre-registered mixed-effects model fruit_set ~ treatment + covariates(bloom_stage,temp) + (1|site) + (1|block:site) + (1|plant_id); non-inferiority margin ±10% fruit_set; multiplicity control via FDR or hierarchical testing. Comparisons and ablations: (1) closed-loop perception+force control vs open-loop actuation for same end-effector; (2) end-effector class ablation (remove vibration from vibrotactile actuator); (3) perception ablation (full sensors vs RGB-only). Report per-arm metrics with 95% CI, equivalence tests, and sensor-to-outcome correlation (e.g., pose_RMS vs pollen_deposition). All datasets, JSON schema, and analysis scripts uploaded with versioned DOI.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perception failures under occlusion, low-light or glare causing missed flowers (affects detection precision/recall); force-sensor drift or failure causing excessive contact force and flower damage (contact force &gt; specified caps). Data/evaluation biases: sample selection bias if bloom stages not balanced, small-sample pilot variance misestimates leading to underpowered tests. Scalability and compute limits: onboard compute (embedded GPU) may not sustain required inference latency (&lt;20 ms) in all platforms, reducing closed-loop performance. Generalization limits: end-effector performance may not transfer across floral morphologies (e.g., sonication works for poricidal anthers but not for flat stigma flowers). Staining assay limits: fluorescent dye may alter pollen viability for some species (affecting deposition→fertilization link) and imaging LOD (limit of detection) varies by crop. Durability constraints: tips and soft materials may wear faster than bench MTBF estimates and sterilization cycles may degrade materials. Regulatory and ecological risks: non-target pollen transfer and effects on wild pollinators are possible and may require separate ecological monitoring. Calibration traceability: lack of recognized field standards for pollen-count calibration and force calibration may limit auditability.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