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xai_deep_lung</w:t>
      </w:r>
    </w:p>
    <w:p>
      <w:r>
        <w:t xml:space="preserve"> </w:t>
      </w:r>
    </w:p>
    <w:p>
      <w:pPr>
        <w:pStyle w:val="Heading2"/>
      </w:pPr>
      <w:r>
        <w:t>Title</w:t>
      </w:r>
    </w:p>
    <w:p>
      <w:r>
        <w:t>A critical review and evaluation framework for explainable deep learning methods in lung cancer imaging for lesion localization, prognostic prediction, and survival analysis</w:t>
      </w:r>
    </w:p>
    <w:p>
      <w:r>
        <w:t xml:space="preserve"> </w:t>
      </w:r>
    </w:p>
    <w:p>
      <w:pPr>
        <w:pStyle w:val="Heading2"/>
      </w:pPr>
      <w:r>
        <w:t>Short Hypothesis</w:t>
      </w:r>
    </w:p>
    <w:p>
      <w:r>
        <w:t>Ensemble-based, uncertainty-aware XAI methods that combine lesion-constrained counterfactuals and concept-alignment produce explanation maps with higher localization fidelity (Dice) and stronger concordance with pathology-derived concepts than single-model gradient saliency methods.</w:t>
      </w:r>
    </w:p>
    <w:p>
      <w:r>
        <w:t xml:space="preserve"> </w:t>
      </w:r>
    </w:p>
    <w:p>
      <w:pPr>
        <w:pStyle w:val="Heading2"/>
      </w:pPr>
      <w:r>
        <w:t>Related Work</w:t>
      </w:r>
    </w:p>
    <w:p>
      <w:r>
        <w:t>Existing work applies saliency and attribution methods (gradient-based maps, CAM/Grad-CAM variants), perturbation/occlusion tests, concept-activation techniques (mapping internal features to human concepts), prototype retrieval, and early counterfactual generators to medical images. For prognostic tasks, deep survival models and multitask networks have been used. Limitations include: saliency maps that are noisy and unstable across model seeds and input perturbations; lack of ensemble or uncertainty propagation into explanations; counterfactuals that produce anatomically implausible edits; weak or missing linkage between image explanations and pathology-derived concepts; limited standardized quantitative evaluation of explanations (few use deletion/insertion or sufficiency metrics consistently); sparse multi-center external validation and reader studies; inadequate handling of censored outcomes in XAI for survival; and little attention to subgroup/fairness audits or reproducible provenance and threshold justification.</w:t>
      </w:r>
    </w:p>
    <w:p>
      <w:r>
        <w:t xml:space="preserve"> </w:t>
      </w:r>
    </w:p>
    <w:p>
      <w:pPr>
        <w:pStyle w:val="Heading2"/>
      </w:pPr>
      <w:r>
        <w:t>Abstract</w:t>
      </w:r>
    </w:p>
    <w:p>
      <w:r>
        <w:t>We present a focused critical review and an operational evaluation framework for explainable deep learning (XAI) methods applied to lung cancer imaging tasks: weakly supervised lesion localization, malignancy prognostics, and survival analysis. We synthesize existing explainers (gradient saliency, perturbation, concept-based, prototype, and counterfactual) and identify adaptations needed for thoracic CT/PET images, such as lesion-constrained counterfactuals, uncertainty-aware saliency, and pathology-aligned concept bottlenecks. Our main contribution is a pre-specified, quantitative evaluation pipeline that measures localization fidelity, concept alignment with pathology, faithfulness (deletion/insertion AUC), calibration (ECE), survival calibration (2-year Brier score), and counterfactual anatomical consistency. The review highlights gaps in robustness, subgroup fairness, and clinical usability and produces prioritized recommendations and pre-registered analysis artifacts to enable reproducible benchmarking and reader-study designs. Expected outcomes are clearer evaluation standards, prioritized XAI methods adapted for lung imaging, and evidence-ready protocols to guide multicenter validation and deployment.</w:t>
      </w:r>
    </w:p>
    <w:p>
      <w:r>
        <w:t xml:space="preserve"> </w:t>
      </w:r>
    </w:p>
    <w:p>
      <w:pPr>
        <w:pStyle w:val="Heading2"/>
      </w:pPr>
      <w:r>
        <w:t>Experiments</w:t>
      </w:r>
    </w:p>
    <w:p>
      <w:r>
        <w:t>Datasets: multi-center CT cohort with lesion-level annotations: training &gt;=4,000 nodules (&gt;=800 path-confirmed malignancies), internal validation 1,000 nodules (&gt;=200 path-confirmed), external test 1,000 nodules across sites (&gt;=300 path-confirmed); reader-study cohort: 500 cases enriched with ~200 malignant lesions. Baselines: (1) single-model gradient saliency (Grad-CAM variant); (2) perturbation/occlusion maps; (3) integrated gradients; (4) concept-activation (concept bottleneck) maps; (5) prototype retrieval; (6) unconstrained counterfactual generator. Proposed methods: ensemble (n=5) with uncertainty-weighted saliency, lesion-constrained counterfactuals (conditional generator), and concept-alignment with pathology labels. Metrics (with simple explanations): localization Dice and IoU (overlap with ground-truth masks; Dice = 2*overlap/(sum areas)); concept AUROC (how well model activations predict annotated radiologic/pathologic concepts); deletion/insertion AUC (faithfulness: how model score changes when important pixels are removed/added); sufficiency/comprehensiveness (how much explanation alone predicts outcome); calibration ECE (expected difference between predicted and observed probabilities); 2-year Brier score (mean squared error of predicted probability for 2-year event); interobserver agreement (Cohen's kappa); explanation uncertainty (pixelwise std across ensemble); counterfactual anatomical-consistency score (ACS = 1 - voxels_changed_outside_ROI/total_voxels_changed); latent Mahalanobis distance for manifold plausibility; adversarial-detection flag rate. Experimental setup: train multi-task models (segmentation, malignancy, radiologic concepts, optional survival head); use cross-validation and hold-out external test; propagate uncertainty via ensembles + MC-dropout; map survival curves to P(event&lt;=2y) and evaluate Brier and calibration slope. Statistical tests: paired McNemar for sensitivity change in reader study, Wilcoxon signed-rank for time-to-decision, bootstrap CIs for AUROC and Dice, permutation tests for explanation metrics. Ablations: (A) single-model vs ensemble; (B) constrained vs unconstrained counterfactuals; (C) with vs without uncertainty-weighted explanations; (D) concept-bottleneck vs end-to-end; (E) label-noise injection (5%, 10%, 20%) to test explanation stability. Reader study: randomized crossover with washout, 8–12 thoracic + 8 general radiologists, endpoints: sensitivity, specificity, reader confidence, time-to-decision, and usefulness ratings for explanations; pre-specified stopping rules and subgroup analyses.</w:t>
      </w:r>
    </w:p>
    <w:p>
      <w:r>
        <w:t xml:space="preserve"> </w:t>
      </w:r>
    </w:p>
    <w:p>
      <w:pPr>
        <w:pStyle w:val="Heading2"/>
      </w:pPr>
      <w:r>
        <w:t>Risk Factors And Limitations</w:t>
      </w:r>
    </w:p>
    <w:p>
      <w:r>
        <w:t>Label quality and missing pathology: many lesions lack path-confirmation, producing noisy or biased ground truth. Small subgroup sizes: limited samples for protected subgroups will reduce power and increase posterior uncertainty. Explanation instability: saliency and attribution methods can vary with small input/model changes, limiting trust. Counterfactual realism failures: generators may produce anatomically implausible edits or leak label information. Causal limits: explanation alignment and interventions do not prove causation without randomized or controlled interventions. Generalization: models and explainers may not transfer across scanner vendors, reconstruction kernels, or institutions. Computational cost: ensembles and constrained counterfactuals increase training and inference costs and may exceed clinical deployment budgets or latency targets. Privacy/regulatory constraints: data-sharing limitations may prevent ideal external validation or require federated approaches. Reader-study biases: artificial enrichment, case selection, or learning effects can bias measured utility. Evaluation metric gaps: numeric thresholds (e.g., ACS, KL, Brier cutoffs) may be dataset-dependent and require empirical justification before regulatory decisions.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